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80"/>
        <w:jc w:val="center"/>
      </w:pPr>
      <w:r>
        <w:rPr>
          <w:b/>
          <w:bCs/>
          <w:color w:val="3b1f00"/>
          <w:sz w:val="40"/>
          <w:szCs w:val="40"/>
        </w:rPr>
        <w:t>Messianic Prophecy Analysis</w:t>
      </w:r>
      <w:r/>
    </w:p>
    <w:p>
      <w:pPr>
        <w:spacing w:after="80"/>
        <w:jc w:val="center"/>
      </w:pPr>
      <w:r>
        <w:rPr>
          <w:b/>
          <w:bCs/>
          <w:color w:val="8b4513"/>
          <w:sz w:val="30"/>
          <w:szCs w:val="30"/>
        </w:rPr>
        <w:t>Genesis 22:8 — The Akedah: God Will Provide the Lamb</w:t>
      </w:r>
      <w:r/>
    </w:p>
    <w:p>
      <w:pPr>
        <w:spacing w:after="60"/>
        <w:jc w:val="center"/>
      </w:pPr>
      <w:r>
        <w:rPr>
          <w:i/>
          <w:iCs/>
          <w:color w:val="666666"/>
          <w:sz w:val="20"/>
          <w:szCs w:val="20"/>
        </w:rPr>
        <w:t>American King James Version  |  Conservative Church of Christ Perspective</w:t>
      </w:r>
      <w:r/>
    </w:p>
    <w:p>
      <w:pPr>
        <w:spacing w:before="120" w:after="120"/>
        <w:pBdr>
          <w:top w:val="nil" w:sz="0" w:space="3" w:color="000000" tmln="20, 20, 20, 0, 60"/>
          <w:left w:val="nil" w:sz="0" w:space="3" w:color="000000" tmln="20, 20, 20, 0, 60"/>
          <w:bottom w:val="single" w:sz="6" w:space="1" w:color="8B4513"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3b1f00"/>
        </w:rPr>
        <w:t>The Scripture</w:t>
      </w:r>
      <w:r/>
    </w:p>
    <w:p>
      <w:pPr>
        <w:ind w:left="720" w:right="720"/>
        <w:spacing w:before="120" w:after="120"/>
      </w:pPr>
      <w:r>
        <w:rPr>
          <w:i/>
          <w:iCs/>
          <w:color w:val="3b2a1a"/>
        </w:rPr>
        <w:t>"And Isaac spoke unto Abraham his father, and said, My father: and he said, Here am I, my son. And he said, Behold the fire and the wood: but where is the lamb for a burnt offering? And Abraham said, My son, God will provide himself a lamb for a burnt offering: so they went both of them together."  — Genesis 22:7-8 (AKJV)</w:t>
      </w:r>
      <w:r/>
    </w:p>
    <w:p>
      <w:pPr>
        <w:spacing w:before="60" w:after="60"/>
      </w:pPr>
      <w:r/>
    </w:p>
    <w:p>
      <w:pPr>
        <w:spacing w:before="80" w:after="80"/>
      </w:pPr>
      <w:r>
        <w:rPr>
          <w:i/>
          <w:iCs/>
          <w:color w:val="666666"/>
        </w:rPr>
        <w:t>Context verse included (v. 7) to preserve the question-and-answer structure essential to understanding the Messianic weight of Abraham's reply.</w:t>
      </w:r>
      <w:r/>
    </w:p>
    <w:p>
      <w:pPr>
        <w:spacing w:before="60" w:after="60"/>
      </w:pPr>
      <w:r/>
    </w:p>
    <w:p>
      <w:pPr>
        <w:spacing w:before="120" w:after="120"/>
        <w:pBdr>
          <w:top w:val="nil" w:sz="0" w:space="3" w:color="000000" tmln="20, 20, 20, 0, 60"/>
          <w:left w:val="nil" w:sz="0" w:space="3" w:color="000000" tmln="20, 20, 20, 0, 60"/>
          <w:bottom w:val="single" w:sz="6" w:space="1" w:color="8B4513"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3b1f00"/>
        </w:rPr>
        <w:t>I. Messianic Analysis</w:t>
      </w:r>
      <w:r/>
    </w:p>
    <w:tbl>
      <w:tblPr>
        <w:name w:val="Table1"/>
        <w:tabOrder w:val="0"/>
        <w:jc w:val="left"/>
        <w:tblInd w:w="0" w:type="dxa"/>
        <w:tblW w:w="9360" w:type="dxa"/>
      </w:tblPr>
      <w:tblGrid>
        <w:gridCol w:w="1400"/>
        <w:gridCol w:w="5000"/>
        <w:gridCol w:w="2960"/>
      </w:tblGrid>
      <w:tr>
        <w:trPr>
          <w:tblHeader/>
          <w:cantSplit w:val="0"/>
          <w:trHeight w:val="0" w:hRule="auto"/>
        </w:trPr>
        <w:tc>
          <w:tcPr>
            <w:tcW w:w="1400" w:type="dxa"/>
            <w:vAlign w:val="center"/>
            <w:shd w:val="solid" w:color="3B1F00" tmshd="1677721856, 0, 7995"/>
            <w:tcMar>
              <w:top w:w="100" w:type="dxa"/>
              <w:left w:w="120" w:type="dxa"/>
              <w:bottom w:w="100" w:type="dxa"/>
              <w:right w:w="120" w:type="dxa"/>
            </w:tcMar>
            <w:tcBorders>
              <w:top w:val="single" w:sz="8" w:space="0" w:color="3B1F00" tmln="20, 20, 20, 0, 0"/>
              <w:left w:val="single" w:sz="8" w:space="0" w:color="3B1F00" tmln="20, 20, 20, 0, 0"/>
              <w:bottom w:val="single" w:sz="8" w:space="0" w:color="3B1F00" tmln="20, 20, 20, 0, 0"/>
              <w:right w:val="single" w:sz="8" w:space="0" w:color="3B1F00" tmln="20, 20, 20, 0, 0"/>
              <w:tl2br w:val="nil" w:sz="0" w:space="0" w:color="000000" tmln="20, 20, 20, 0, 0"/>
              <w:tr2bl w:val="nil" w:sz="0" w:space="0" w:color="000000" tmln="20, 20, 20, 0, 0"/>
            </w:tcBorders>
            <w:tmTcPr id="1773280087" protected="0"/>
          </w:tcPr>
          <w:p>
            <w:pPr>
              <w:spacing/>
              <w:jc w:val="center"/>
            </w:pPr>
            <w:r>
              <w:rPr>
                <w:b/>
                <w:bCs/>
                <w:color w:val="ffffff"/>
                <w:sz w:val="20"/>
                <w:szCs w:val="20"/>
              </w:rPr>
              <w:t>Category</w:t>
            </w:r>
            <w:r/>
          </w:p>
        </w:tc>
        <w:tc>
          <w:tcPr>
            <w:tcW w:w="5000" w:type="dxa"/>
            <w:vAlign w:val="center"/>
            <w:shd w:val="solid" w:color="3B1F00" tmshd="1677721856, 0, 7995"/>
            <w:tcMar>
              <w:top w:w="100" w:type="dxa"/>
              <w:left w:w="120" w:type="dxa"/>
              <w:bottom w:w="100" w:type="dxa"/>
              <w:right w:w="120" w:type="dxa"/>
            </w:tcMar>
            <w:tcBorders>
              <w:top w:val="single" w:sz="8" w:space="0" w:color="3B1F00" tmln="20, 20, 20, 0, 0"/>
              <w:left w:val="single" w:sz="8" w:space="0" w:color="3B1F00" tmln="20, 20, 20, 0, 0"/>
              <w:bottom w:val="single" w:sz="8" w:space="0" w:color="3B1F00" tmln="20, 20, 20, 0, 0"/>
              <w:right w:val="single" w:sz="8" w:space="0" w:color="3B1F00" tmln="20, 20, 20, 0, 0"/>
              <w:tl2br w:val="nil" w:sz="0" w:space="0" w:color="000000" tmln="20, 20, 20, 0, 0"/>
              <w:tr2bl w:val="nil" w:sz="0" w:space="0" w:color="000000" tmln="20, 20, 20, 0, 0"/>
            </w:tcBorders>
            <w:tmTcPr id="1773280087" protected="0"/>
          </w:tcPr>
          <w:p>
            <w:pPr>
              <w:spacing/>
              <w:jc w:val="center"/>
            </w:pPr>
            <w:r>
              <w:rPr>
                <w:b/>
                <w:bCs/>
                <w:color w:val="ffffff"/>
                <w:sz w:val="20"/>
                <w:szCs w:val="20"/>
              </w:rPr>
              <w:t>Content</w:t>
            </w:r>
            <w:r/>
          </w:p>
        </w:tc>
        <w:tc>
          <w:tcPr>
            <w:tcW w:w="2960" w:type="dxa"/>
            <w:vAlign w:val="center"/>
            <w:shd w:val="solid" w:color="3B1F00" tmshd="1677721856, 0, 7995"/>
            <w:tcMar>
              <w:top w:w="100" w:type="dxa"/>
              <w:left w:w="120" w:type="dxa"/>
              <w:bottom w:w="100" w:type="dxa"/>
              <w:right w:w="120" w:type="dxa"/>
            </w:tcMar>
            <w:tcBorders>
              <w:top w:val="single" w:sz="8" w:space="0" w:color="3B1F00" tmln="20, 20, 20, 0, 0"/>
              <w:left w:val="single" w:sz="8" w:space="0" w:color="3B1F00" tmln="20, 20, 20, 0, 0"/>
              <w:bottom w:val="single" w:sz="8" w:space="0" w:color="3B1F00" tmln="20, 20, 20, 0, 0"/>
              <w:right w:val="single" w:sz="8" w:space="0" w:color="3B1F00" tmln="20, 20, 20, 0, 0"/>
              <w:tl2br w:val="nil" w:sz="0" w:space="0" w:color="000000" tmln="20, 20, 20, 0, 0"/>
              <w:tr2bl w:val="nil" w:sz="0" w:space="0" w:color="000000" tmln="20, 20, 20, 0, 0"/>
            </w:tcBorders>
            <w:tmTcPr id="1773280087" protected="0"/>
          </w:tcPr>
          <w:p>
            <w:pPr>
              <w:spacing/>
              <w:jc w:val="center"/>
            </w:pPr>
            <w:r>
              <w:rPr>
                <w:b/>
                <w:bCs/>
                <w:color w:val="ffffff"/>
                <w:sz w:val="20"/>
                <w:szCs w:val="20"/>
              </w:rPr>
              <w:t>Assessment</w:t>
            </w:r>
            <w:r/>
          </w:p>
        </w:tc>
      </w:tr>
      <w:tr>
        <w:trPr>
          <w:tblHeader w:val="0"/>
          <w:cantSplit w:val="0"/>
          <w:trHeight w:val="0" w:hRule="auto"/>
        </w:trPr>
        <w:tc>
          <w:tcPr>
            <w:tcW w:w="14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Scripture</w:t>
            </w:r>
            <w:r/>
          </w:p>
        </w:tc>
        <w:tc>
          <w:tcPr>
            <w:tcW w:w="50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Genesis 22:8 (AKJV) — "And Abraham said, My son, God will provide himself a lamb for a burnt offering: so they went both of them together."</w:t>
            </w:r>
            <w:r/>
          </w:p>
        </w:tc>
        <w:tc>
          <w:tcPr>
            <w:tcW w:w="2960" w:type="dxa"/>
            <w:shd w:val="solid" w:color="FFF3DC" tmshd="1677721856, 0, 1448038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Primary Text</w:t>
            </w:r>
            <w:r/>
          </w:p>
        </w:tc>
      </w:tr>
      <w:tr>
        <w:trPr>
          <w:tblHeader w:val="0"/>
          <w:cantSplit w:val="0"/>
          <w:trHeight w:val="0" w:hRule="auto"/>
        </w:trPr>
        <w:tc>
          <w:tcPr>
            <w:tcW w:w="14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Speaker</w:t>
            </w:r>
            <w:r/>
          </w:p>
        </w:tc>
        <w:tc>
          <w:tcPr>
            <w:tcW w:w="50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Abraham — answering his son Isaac's piercing question: "Behold the fire and the wood: but where is the lamb for a burnt offering?" (Gen. 22:7)</w:t>
            </w:r>
            <w:r/>
          </w:p>
        </w:tc>
        <w:tc>
          <w:tcPr>
            <w:tcW w:w="2960" w:type="dxa"/>
            <w:shd w:val="solid" w:color="F9F0E0" tmshd="1677721856, 0, 147417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Patriarchal Prophecy</w:t>
            </w:r>
            <w:r/>
          </w:p>
        </w:tc>
      </w:tr>
      <w:tr>
        <w:trPr>
          <w:tblHeader w:val="0"/>
          <w:cantSplit w:val="0"/>
          <w:trHeight w:val="0" w:hRule="auto"/>
        </w:trPr>
        <w:tc>
          <w:tcPr>
            <w:tcW w:w="14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Audience</w:t>
            </w:r>
            <w:r/>
          </w:p>
        </w:tc>
        <w:tc>
          <w:tcPr>
            <w:tcW w:w="50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Isaac, Abraham's only son of promise, as they ascend Mount Moriah together for the commanded sacrifice. The statement is made in direct answer to Isaac's question.</w:t>
            </w:r>
            <w:r/>
          </w:p>
        </w:tc>
        <w:tc>
          <w:tcPr>
            <w:tcW w:w="2960" w:type="dxa"/>
            <w:shd w:val="solid" w:color="FFF3DC" tmshd="1677721856, 0, 1448038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Father to Son</w:t>
            </w:r>
            <w:r/>
          </w:p>
        </w:tc>
      </w:tr>
      <w:tr>
        <w:trPr>
          <w:tblHeader w:val="0"/>
          <w:cantSplit w:val="0"/>
          <w:trHeight w:val="0" w:hRule="auto"/>
        </w:trPr>
        <w:tc>
          <w:tcPr>
            <w:tcW w:w="14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Historical Context</w:t>
            </w:r>
            <w:r/>
          </w:p>
        </w:tc>
        <w:tc>
          <w:tcPr>
            <w:tcW w:w="50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God commands Abraham to offer Isaac — the son of promise — as a burnt offering on one of the mountains of Moriah (Gen. 22:1-2). Abraham obeys without delay, and on the third day arrives at the appointed place. Isaac carries the wood; Abraham carries the fire and the knife.</w:t>
            </w:r>
            <w:r/>
          </w:p>
        </w:tc>
        <w:tc>
          <w:tcPr>
            <w:tcW w:w="2960" w:type="dxa"/>
            <w:shd w:val="solid" w:color="F9F0E0" tmshd="1677721856, 0, 147417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The Akedah (Binding of Isaac)</w:t>
            </w:r>
            <w:r/>
          </w:p>
        </w:tc>
      </w:tr>
      <w:tr>
        <w:trPr>
          <w:tblHeader w:val="0"/>
          <w:cantSplit w:val="0"/>
          <w:trHeight w:val="0" w:hRule="auto"/>
        </w:trPr>
        <w:tc>
          <w:tcPr>
            <w:tcW w:w="14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Messianic?</w:t>
            </w:r>
            <w:r/>
          </w:p>
        </w:tc>
        <w:tc>
          <w:tcPr>
            <w:tcW w:w="50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YES — One of the most theologically rich Messianic types and prophetic statements in all of Scripture. Abraham's declaration is simultaneously an answer of faith, an unwitting prophecy, and a typological preview of God the Father providing His own Son as the sacrificial Lamb at the very same mountain range (Moriah/Calvary).</w:t>
            </w:r>
            <w:r/>
          </w:p>
        </w:tc>
        <w:tc>
          <w:tcPr>
            <w:tcW w:w="2960" w:type="dxa"/>
            <w:shd w:val="solid" w:color="E8F5E9" tmshd="1677721856, 0, 15332840"/>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Confirmed Messianic</w:t>
            </w:r>
            <w:r/>
          </w:p>
        </w:tc>
      </w:tr>
      <w:tr>
        <w:trPr>
          <w:tblHeader w:val="0"/>
          <w:cantSplit w:val="0"/>
          <w:trHeight w:val="0" w:hRule="auto"/>
        </w:trPr>
        <w:tc>
          <w:tcPr>
            <w:tcW w:w="14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4" w:space="0" w:color="000000" tmln="1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Nature of Prophecy</w:t>
            </w:r>
            <w:r/>
          </w:p>
        </w:tc>
        <w:tc>
          <w:tcPr>
            <w:tcW w:w="50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4" w:space="0" w:color="000000" tmln="1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Typological / Predictive — The Akedah is the supreme Old Testament type of the substitutionary atonement. Isaac typifies Christ; the ram typifies Christ; Abraham typifies God the Father; Moriah typifies Calvary. Abraham's statement is prophetic beyond his own understanding.</w:t>
            </w:r>
            <w:r/>
          </w:p>
        </w:tc>
        <w:tc>
          <w:tcPr>
            <w:tcW w:w="2960" w:type="dxa"/>
            <w:shd w:val="solid" w:color="F9F0E0" tmshd="1677721856, 0, 14741753"/>
            <w:tcMar>
              <w:top w:w="80" w:type="dxa"/>
              <w:left w:w="120" w:type="dxa"/>
              <w:bottom w:w="80" w:type="dxa"/>
              <w:right w:w="120" w:type="dxa"/>
            </w:tcMar>
            <w:tcBorders>
              <w:top w:val="single" w:sz="8" w:space="0" w:color="5C3A00" tmln="20, 20, 20, 0, 0"/>
              <w:left w:val="single" w:sz="8" w:space="0" w:color="5C3A00" tmln="20, 20, 20, 0, 0"/>
              <w:bottom w:val="single" w:sz="4" w:space="0" w:color="000000" tmln="1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Typological / Substitutionary</w:t>
            </w:r>
            <w:r/>
          </w:p>
        </w:tc>
      </w:tr>
    </w:tbl>
    <w:p>
      <w:pPr>
        <w:spacing w:before="60" w:after="60"/>
      </w:pPr>
      <w:r/>
    </w:p>
    <w:p>
      <w:pPr>
        <w:spacing w:before="120" w:after="120"/>
        <w:pBdr>
          <w:top w:val="nil" w:sz="0" w:space="3" w:color="000000" tmln="20, 20, 20, 0, 60"/>
          <w:left w:val="nil" w:sz="0" w:space="3" w:color="000000" tmln="20, 20, 20, 0, 60"/>
          <w:bottom w:val="single" w:sz="6" w:space="1" w:color="8B4513"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3b1f00"/>
        </w:rPr>
        <w:t>II. Immediate Context of Genesis 22:1-19</w:t>
      </w:r>
      <w:r/>
    </w:p>
    <w:p>
      <w:pPr>
        <w:spacing w:before="80" w:after="80"/>
      </w:pPr>
      <w:r>
        <w:t>The Akedah (Hebrew: the Binding) is one of the most carefully constructed narratives in all of Scripture. Every detail carries theological weight.</w:t>
      </w:r>
    </w:p>
    <w:p>
      <w:pPr>
        <w:spacing w:before="60" w:after="60"/>
      </w:pPr>
      <w:r/>
    </w:p>
    <w:tbl>
      <w:tblPr>
        <w:name w:val="Table2"/>
        <w:tabOrder w:val="0"/>
        <w:jc w:val="left"/>
        <w:tblInd w:w="0" w:type="dxa"/>
        <w:tblW w:w="9360" w:type="dxa"/>
      </w:tblPr>
      <w:tblGrid>
        <w:gridCol w:w="2200"/>
        <w:gridCol w:w="7160"/>
      </w:tblGrid>
      <w:tr>
        <w:trPr>
          <w:tblHeader/>
          <w:cantSplit w:val="0"/>
          <w:trHeight w:val="0" w:hRule="auto"/>
        </w:trPr>
        <w:tc>
          <w:tcPr>
            <w:tcW w:w="2200" w:type="dxa"/>
            <w:vAlign w:val="center"/>
            <w:shd w:val="solid" w:color="3B1F00" tmshd="1677721856, 0, 7995"/>
            <w:tcMar>
              <w:top w:w="100" w:type="dxa"/>
              <w:left w:w="120" w:type="dxa"/>
              <w:bottom w:w="100" w:type="dxa"/>
              <w:right w:w="120" w:type="dxa"/>
            </w:tcMar>
            <w:tcBorders>
              <w:top w:val="single" w:sz="8" w:space="0" w:color="3B1F00" tmln="20, 20, 20, 0, 0"/>
              <w:left w:val="single" w:sz="8" w:space="0" w:color="3B1F00" tmln="20, 20, 20, 0, 0"/>
              <w:bottom w:val="single" w:sz="8" w:space="0" w:color="3B1F00" tmln="20, 20, 20, 0, 0"/>
              <w:right w:val="single" w:sz="8" w:space="0" w:color="3B1F00" tmln="20, 20, 20, 0, 0"/>
              <w:tl2br w:val="nil" w:sz="0" w:space="0" w:color="000000" tmln="20, 20, 20, 0, 0"/>
              <w:tr2bl w:val="nil" w:sz="0" w:space="0" w:color="000000" tmln="20, 20, 20, 0, 0"/>
            </w:tcBorders>
            <w:tmTcPr id="1773280087" protected="0"/>
          </w:tcPr>
          <w:p>
            <w:pPr>
              <w:spacing/>
              <w:jc w:val="center"/>
            </w:pPr>
            <w:r>
              <w:rPr>
                <w:b/>
                <w:bCs/>
                <w:color w:val="ffffff"/>
                <w:sz w:val="20"/>
                <w:szCs w:val="20"/>
              </w:rPr>
              <w:t>Element</w:t>
            </w:r>
            <w:r/>
          </w:p>
        </w:tc>
        <w:tc>
          <w:tcPr>
            <w:tcW w:w="7160" w:type="dxa"/>
            <w:vAlign w:val="center"/>
            <w:shd w:val="solid" w:color="3B1F00" tmshd="1677721856, 0, 7995"/>
            <w:tcMar>
              <w:top w:w="100" w:type="dxa"/>
              <w:left w:w="120" w:type="dxa"/>
              <w:bottom w:w="100" w:type="dxa"/>
              <w:right w:w="120" w:type="dxa"/>
            </w:tcMar>
            <w:tcBorders>
              <w:top w:val="single" w:sz="8" w:space="0" w:color="3B1F00" tmln="20, 20, 20, 0, 0"/>
              <w:left w:val="single" w:sz="8" w:space="0" w:color="3B1F00" tmln="20, 20, 20, 0, 0"/>
              <w:bottom w:val="single" w:sz="8" w:space="0" w:color="3B1F00" tmln="20, 20, 20, 0, 0"/>
              <w:right w:val="single" w:sz="8" w:space="0" w:color="3B1F00" tmln="20, 20, 20, 0, 0"/>
              <w:tl2br w:val="nil" w:sz="0" w:space="0" w:color="000000" tmln="20, 20, 20, 0, 0"/>
              <w:tr2bl w:val="nil" w:sz="0" w:space="0" w:color="000000" tmln="20, 20, 20, 0, 0"/>
            </w:tcBorders>
            <w:tmTcPr id="1773280087" protected="0"/>
          </w:tcPr>
          <w:p>
            <w:pPr>
              <w:spacing/>
              <w:jc w:val="center"/>
            </w:pPr>
            <w:r>
              <w:rPr>
                <w:b/>
                <w:bCs/>
                <w:color w:val="ffffff"/>
                <w:sz w:val="20"/>
                <w:szCs w:val="20"/>
              </w:rPr>
              <w:t>Immediate Context (Genesis 22:1-19)</w:t>
            </w:r>
            <w:r/>
          </w:p>
        </w:tc>
      </w:tr>
      <w:tr>
        <w:trPr>
          <w:tblHeader w:val="0"/>
          <w:cantSplit w:val="0"/>
          <w:trHeight w:val="0" w:hRule="auto"/>
        </w:trPr>
        <w:tc>
          <w:tcPr>
            <w:tcW w:w="22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The Command (vv. 1-2)</w:t>
            </w:r>
            <w:r/>
          </w:p>
        </w:tc>
        <w:tc>
          <w:tcPr>
            <w:tcW w:w="716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"And he said, Take now your son, your only son Isaac, whom you love, and get you into the land of Moriah; and offer him there for a burnt offering upon one of the mountains which I will tell you of." God's command is precise and devastating: the son of promise, the heir of the covenant, is to be sacrificed. Every word — only son, whom you love — amplifies the cost.</w:t>
            </w:r>
            <w:r/>
          </w:p>
        </w:tc>
      </w:tr>
      <w:tr>
        <w:trPr>
          <w:tblHeader w:val="0"/>
          <w:cantSplit w:val="0"/>
          <w:trHeight w:val="0" w:hRule="auto"/>
        </w:trPr>
        <w:tc>
          <w:tcPr>
            <w:tcW w:w="22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Abraham's Immediate Obedience (v. 3)</w:t>
            </w:r>
            <w:r/>
          </w:p>
        </w:tc>
        <w:tc>
          <w:tcPr>
            <w:tcW w:w="716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"And Abraham rose up early in the morning." No recorded hesitation. No recorded argument (contrast Gen. 18:23-32). Abraham's faith had been forged across decades of covenant relationship, and it moved him to immediate, unreserved obedience. Hebrews 11:17-19 reveals that Abraham reasoned God could raise Isaac from the dead.</w:t>
            </w:r>
            <w:r/>
          </w:p>
        </w:tc>
      </w:tr>
      <w:tr>
        <w:trPr>
          <w:tblHeader w:val="0"/>
          <w:cantSplit w:val="0"/>
          <w:trHeight w:val="0" w:hRule="auto"/>
        </w:trPr>
        <w:tc>
          <w:tcPr>
            <w:tcW w:w="22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The Third Day (v. 4)</w:t>
            </w:r>
            <w:r/>
          </w:p>
        </w:tc>
        <w:tc>
          <w:tcPr>
            <w:tcW w:w="7160" w:type="dxa"/>
            <w:shd w:val="solid" w:color="FFF3DC" tmshd="1677721856, 0, 1448038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"Then on the third day Abraham lifted up his eyes, and saw the place afar off." The three-day journey is theologically significant: from Abraham's perspective, Isaac was as good as dead from the moment of the command. His "resurrection" on the third day (Heb. 11:19) prefigures Christ's resurrection on the third day.</w:t>
            </w:r>
            <w:r/>
          </w:p>
        </w:tc>
      </w:tr>
      <w:tr>
        <w:trPr>
          <w:tblHeader w:val="0"/>
          <w:cantSplit w:val="0"/>
          <w:trHeight w:val="0" w:hRule="auto"/>
        </w:trPr>
        <w:tc>
          <w:tcPr>
            <w:tcW w:w="22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"We will come again" (v. 5)</w:t>
            </w:r>
            <w:r/>
          </w:p>
        </w:tc>
        <w:tc>
          <w:tcPr>
            <w:tcW w:w="716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Abraham tells his servants: "I and the lad will go yonder and worship, and come again to you." Plural — both of them. Either a statement of faith in resurrection (Heb. 11:19) or an unwitting prophecy. Either way, Abraham anticipated Isaac's return from death, which is exactly what occurred (typologically) in the substitution of the ram.</w:t>
            </w:r>
            <w:r/>
          </w:p>
        </w:tc>
      </w:tr>
      <w:tr>
        <w:trPr>
          <w:tblHeader w:val="0"/>
          <w:cantSplit w:val="0"/>
          <w:trHeight w:val="0" w:hRule="auto"/>
        </w:trPr>
        <w:tc>
          <w:tcPr>
            <w:tcW w:w="22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Isaac Carries the Wood (v. 6)</w:t>
            </w:r>
            <w:r/>
          </w:p>
        </w:tc>
        <w:tc>
          <w:tcPr>
            <w:tcW w:w="7160" w:type="dxa"/>
            <w:shd w:val="solid" w:color="FFF8E0" tmshd="1677721856, 0, 14743807"/>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"And Abraham took the wood of the burnt offering, and laid it upon Isaac his son." Isaac — the son designated to die — carried the very wood of his own sacrifice up the mountain. This precisely parallels Jesus carrying His own cross up Golgotha (John 19:17), itself located in the greater Moriah region of Jerusalem.</w:t>
            </w:r>
            <w:r/>
          </w:p>
        </w:tc>
      </w:tr>
      <w:tr>
        <w:trPr>
          <w:tblHeader w:val="0"/>
          <w:cantSplit w:val="0"/>
          <w:trHeight w:val="0" w:hRule="auto"/>
        </w:trPr>
        <w:tc>
          <w:tcPr>
            <w:tcW w:w="22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Isaac's Question (v. 7)</w:t>
            </w:r>
            <w:r/>
          </w:p>
        </w:tc>
        <w:tc>
          <w:tcPr>
            <w:tcW w:w="716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"Behold the fire and the wood: but where is the lamb for a burnt offering?" Isaac's question is the theological center of the passage. Everything in the Akedah narrative builds toward this question and toward Abraham's answer. It is the question the entire sacrificial system asks — and which only the cross answers completely.</w:t>
            </w:r>
            <w:r/>
          </w:p>
        </w:tc>
      </w:tr>
      <w:tr>
        <w:trPr>
          <w:tblHeader w:val="0"/>
          <w:cantSplit w:val="0"/>
          <w:trHeight w:val="0" w:hRule="auto"/>
        </w:trPr>
        <w:tc>
          <w:tcPr>
            <w:tcW w:w="22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"God will provide himself a lamb" (v. 8)</w:t>
            </w:r>
            <w:r/>
          </w:p>
        </w:tc>
        <w:tc>
          <w:tcPr>
            <w:tcW w:w="7160" w:type="dxa"/>
            <w:shd w:val="solid" w:color="FFE8C0" tmshd="1677721856, 0, 12642559"/>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The Hebrew is emphatic and reflexive: Elohim yireh lo — "God will see to it for himself." The phrase can be rendered: "God will provide for Himself the lamb." It is not merely that God will supply a lamb from external resources, but that God Himself is the provider and in a deeper sense, the provision. This is the Messianic heart of the verse.</w:t>
            </w:r>
            <w:r/>
          </w:p>
        </w:tc>
      </w:tr>
      <w:tr>
        <w:trPr>
          <w:tblHeader w:val="0"/>
          <w:cantSplit w:val="0"/>
          <w:trHeight w:val="0" w:hRule="auto"/>
        </w:trPr>
        <w:tc>
          <w:tcPr>
            <w:tcW w:w="22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The Ram in the Thicket (vv. 13-14)</w:t>
            </w:r>
            <w:r/>
          </w:p>
        </w:tc>
        <w:tc>
          <w:tcPr>
            <w:tcW w:w="716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"And Abraham lifted up his eyes, and looked, and behold behind him a ram caught in a thicket by his horns: and Abraham went and took the ram, and offered him up for a burnt offering in the stead of his son." The substitution is explicit: the ram dies in Isaac's place. Abraham names the place Jehovah-jireh — "The LORD will provide" — and adds: "In the mount of the LORD it shall be seen" (v. 14), a further forward-looking prophetic statement.</w:t>
            </w:r>
            <w:r/>
          </w:p>
        </w:tc>
      </w:tr>
      <w:tr>
        <w:trPr>
          <w:tblHeader w:val="0"/>
          <w:cantSplit w:val="0"/>
          <w:trHeight w:val="0" w:hRule="auto"/>
        </w:trPr>
        <w:tc>
          <w:tcPr>
            <w:tcW w:w="22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4" w:space="0" w:color="000000" tmln="1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The Covenant Reaffirmed (vv. 15-18)</w:t>
            </w:r>
            <w:r/>
          </w:p>
        </w:tc>
        <w:tc>
          <w:tcPr>
            <w:tcW w:w="716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4" w:space="0" w:color="000000" tmln="1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God immediately reaffirms the Abrahamic covenant in its fullest terms: seed multiplied, nations blessed. The Akedah is the climactic test of Abraham's faith and the occasion of the covenant's most solemn confirmation — pointing to the ultimate Seed (Gal. 3:16) whose sacrifice would secure these blessings.</w:t>
            </w:r>
            <w:r/>
          </w:p>
        </w:tc>
      </w:tr>
    </w:tbl>
    <w:p>
      <w:pPr>
        <w:spacing w:before="60" w:after="60"/>
      </w:pPr>
      <w:r/>
    </w:p>
    <w:p>
      <w:pPr>
        <w:spacing w:before="120" w:after="120"/>
        <w:pBdr>
          <w:top w:val="nil" w:sz="0" w:space="3" w:color="000000" tmln="20, 20, 20, 0, 60"/>
          <w:left w:val="nil" w:sz="0" w:space="3" w:color="000000" tmln="20, 20, 20, 0, 60"/>
          <w:bottom w:val="single" w:sz="6" w:space="1" w:color="8B4513"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3b1f00"/>
        </w:rPr>
        <w:t>III. New Testament Fulfillment</w:t>
      </w:r>
      <w:r/>
    </w:p>
    <w:p>
      <w:pPr>
        <w:spacing w:before="80" w:after="80"/>
      </w:pPr>
      <w:r>
        <w:t>The typological elements of Genesis 22 are confirmed and applied by multiple New Testament writers, making this one of the most thoroughly attested Messianic types in Scripture.</w:t>
      </w:r>
    </w:p>
    <w:p>
      <w:pPr>
        <w:spacing w:before="60" w:after="60"/>
      </w:pPr>
      <w:r/>
    </w:p>
    <w:tbl>
      <w:tblPr>
        <w:name w:val="Table3"/>
        <w:tabOrder w:val="0"/>
        <w:jc w:val="left"/>
        <w:tblInd w:w="0" w:type="dxa"/>
        <w:tblW w:w="9360" w:type="dxa"/>
      </w:tblPr>
      <w:tblGrid>
        <w:gridCol w:w="2400"/>
        <w:gridCol w:w="4160"/>
        <w:gridCol w:w="2800"/>
      </w:tblGrid>
      <w:tr>
        <w:trPr>
          <w:tblHeader/>
          <w:cantSplit w:val="0"/>
          <w:trHeight w:val="0" w:hRule="auto"/>
        </w:trPr>
        <w:tc>
          <w:tcPr>
            <w:tcW w:w="2400" w:type="dxa"/>
            <w:vAlign w:val="center"/>
            <w:shd w:val="solid" w:color="3B1F00" tmshd="1677721856, 0, 7995"/>
            <w:tcMar>
              <w:top w:w="100" w:type="dxa"/>
              <w:left w:w="120" w:type="dxa"/>
              <w:bottom w:w="100" w:type="dxa"/>
              <w:right w:w="120" w:type="dxa"/>
            </w:tcMar>
            <w:tcBorders>
              <w:top w:val="single" w:sz="8" w:space="0" w:color="3B1F00" tmln="20, 20, 20, 0, 0"/>
              <w:left w:val="single" w:sz="8" w:space="0" w:color="3B1F00" tmln="20, 20, 20, 0, 0"/>
              <w:bottom w:val="single" w:sz="8" w:space="0" w:color="3B1F00" tmln="20, 20, 20, 0, 0"/>
              <w:right w:val="single" w:sz="8" w:space="0" w:color="3B1F00" tmln="20, 20, 20, 0, 0"/>
              <w:tl2br w:val="nil" w:sz="0" w:space="0" w:color="000000" tmln="20, 20, 20, 0, 0"/>
              <w:tr2bl w:val="nil" w:sz="0" w:space="0" w:color="000000" tmln="20, 20, 20, 0, 0"/>
            </w:tcBorders>
            <w:tmTcPr id="1773280087" protected="0"/>
          </w:tcPr>
          <w:p>
            <w:pPr>
              <w:spacing/>
              <w:jc w:val="center"/>
            </w:pPr>
            <w:r>
              <w:rPr>
                <w:b/>
                <w:bCs/>
                <w:color w:val="ffffff"/>
                <w:sz w:val="20"/>
                <w:szCs w:val="20"/>
              </w:rPr>
              <w:t>Prophecy / Type Element</w:t>
            </w:r>
            <w:r/>
          </w:p>
        </w:tc>
        <w:tc>
          <w:tcPr>
            <w:tcW w:w="4160" w:type="dxa"/>
            <w:vAlign w:val="center"/>
            <w:shd w:val="solid" w:color="3B1F00" tmshd="1677721856, 0, 7995"/>
            <w:tcMar>
              <w:top w:w="100" w:type="dxa"/>
              <w:left w:w="120" w:type="dxa"/>
              <w:bottom w:w="100" w:type="dxa"/>
              <w:right w:w="120" w:type="dxa"/>
            </w:tcMar>
            <w:tcBorders>
              <w:top w:val="single" w:sz="8" w:space="0" w:color="3B1F00" tmln="20, 20, 20, 0, 0"/>
              <w:left w:val="single" w:sz="8" w:space="0" w:color="3B1F00" tmln="20, 20, 20, 0, 0"/>
              <w:bottom w:val="single" w:sz="8" w:space="0" w:color="3B1F00" tmln="20, 20, 20, 0, 0"/>
              <w:right w:val="single" w:sz="8" w:space="0" w:color="3B1F00" tmln="20, 20, 20, 0, 0"/>
              <w:tl2br w:val="nil" w:sz="0" w:space="0" w:color="000000" tmln="20, 20, 20, 0, 0"/>
              <w:tr2bl w:val="nil" w:sz="0" w:space="0" w:color="000000" tmln="20, 20, 20, 0, 0"/>
            </w:tcBorders>
            <w:tmTcPr id="1773280087" protected="0"/>
          </w:tcPr>
          <w:p>
            <w:pPr>
              <w:spacing/>
              <w:jc w:val="center"/>
            </w:pPr>
            <w:r>
              <w:rPr>
                <w:b/>
                <w:bCs/>
                <w:color w:val="ffffff"/>
                <w:sz w:val="20"/>
                <w:szCs w:val="20"/>
              </w:rPr>
              <w:t>New Testament Fulfillment (AKJV)</w:t>
            </w:r>
            <w:r/>
          </w:p>
        </w:tc>
        <w:tc>
          <w:tcPr>
            <w:tcW w:w="2800" w:type="dxa"/>
            <w:vAlign w:val="center"/>
            <w:shd w:val="solid" w:color="3B1F00" tmshd="1677721856, 0, 7995"/>
            <w:tcMar>
              <w:top w:w="100" w:type="dxa"/>
              <w:left w:w="120" w:type="dxa"/>
              <w:bottom w:w="100" w:type="dxa"/>
              <w:right w:w="120" w:type="dxa"/>
            </w:tcMar>
            <w:tcBorders>
              <w:top w:val="single" w:sz="8" w:space="0" w:color="3B1F00" tmln="20, 20, 20, 0, 0"/>
              <w:left w:val="single" w:sz="8" w:space="0" w:color="3B1F00" tmln="20, 20, 20, 0, 0"/>
              <w:bottom w:val="single" w:sz="8" w:space="0" w:color="3B1F00" tmln="20, 20, 20, 0, 0"/>
              <w:right w:val="single" w:sz="8" w:space="0" w:color="3B1F00" tmln="20, 20, 20, 0, 0"/>
              <w:tl2br w:val="nil" w:sz="0" w:space="0" w:color="000000" tmln="20, 20, 20, 0, 0"/>
              <w:tr2bl w:val="nil" w:sz="0" w:space="0" w:color="000000" tmln="20, 20, 20, 0, 0"/>
            </w:tcBorders>
            <w:tmTcPr id="1773280087" protected="0"/>
          </w:tcPr>
          <w:p>
            <w:pPr>
              <w:spacing/>
              <w:jc w:val="center"/>
            </w:pPr>
            <w:r>
              <w:rPr>
                <w:b/>
                <w:bCs/>
                <w:color w:val="ffffff"/>
                <w:sz w:val="20"/>
                <w:szCs w:val="20"/>
              </w:rPr>
              <w:t>Reference</w:t>
            </w:r>
            <w:r/>
          </w:p>
        </w:tc>
      </w:tr>
      <w:tr>
        <w:trPr>
          <w:tblHeader w:val="0"/>
          <w:cantSplit w:val="0"/>
          <w:trHeight w:val="0" w:hRule="auto"/>
        </w:trPr>
        <w:tc>
          <w:tcPr>
            <w:tcW w:w="24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"God will provide himself a lamb"</w:t>
            </w:r>
            <w:r/>
          </w:p>
        </w:tc>
        <w:tc>
          <w:tcPr>
            <w:tcW w:w="416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"The next day John sees Jesus coming unto him, and says, Behold the Lamb of God, which takes away the sin of the world." The lamb Abraham prophesied is identified by John the Baptist as Jesus of Nazareth — God's own provision.</w:t>
            </w:r>
            <w:r/>
          </w:p>
        </w:tc>
        <w:tc>
          <w:tcPr>
            <w:tcW w:w="2800" w:type="dxa"/>
            <w:shd w:val="solid" w:color="FFF3DC" tmshd="1677721856, 0, 1448038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John 1:29</w:t>
            </w:r>
            <w:r/>
          </w:p>
        </w:tc>
      </w:tr>
      <w:tr>
        <w:trPr>
          <w:tblHeader w:val="0"/>
          <w:cantSplit w:val="0"/>
          <w:trHeight w:val="0" w:hRule="auto"/>
        </w:trPr>
        <w:tc>
          <w:tcPr>
            <w:tcW w:w="24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Abraham's only beloved son — God's only Son</w:t>
            </w:r>
            <w:r/>
          </w:p>
        </w:tc>
        <w:tc>
          <w:tcPr>
            <w:tcW w:w="416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"For God so loved the world, that he gave his only begotten Son, that whoever believes in him should not perish, but have everlasting life." The parallel is explicit: Abraham gave his only son; God gave His only Son.</w:t>
            </w:r>
            <w:r/>
          </w:p>
        </w:tc>
        <w:tc>
          <w:tcPr>
            <w:tcW w:w="2800" w:type="dxa"/>
            <w:shd w:val="solid" w:color="F9F0E0" tmshd="1677721856, 0, 147417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John 3:16</w:t>
            </w:r>
            <w:r/>
          </w:p>
        </w:tc>
      </w:tr>
      <w:tr>
        <w:trPr>
          <w:tblHeader w:val="0"/>
          <w:cantSplit w:val="0"/>
          <w:trHeight w:val="0" w:hRule="auto"/>
        </w:trPr>
        <w:tc>
          <w:tcPr>
            <w:tcW w:w="24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Isaac carrying the wood — Christ carrying the cross</w:t>
            </w:r>
            <w:r/>
          </w:p>
        </w:tc>
        <w:tc>
          <w:tcPr>
            <w:tcW w:w="416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"And he bearing his cross went forth into a place called the place of a skull, which is called in the Hebrew Golgotha." As Isaac bore the wood of his own sacrifice, Christ bore the cross of His.</w:t>
            </w:r>
            <w:r/>
          </w:p>
        </w:tc>
        <w:tc>
          <w:tcPr>
            <w:tcW w:w="2800" w:type="dxa"/>
            <w:shd w:val="solid" w:color="FFF3DC" tmshd="1677721856, 0, 1448038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John 19:17</w:t>
            </w:r>
            <w:r/>
          </w:p>
        </w:tc>
      </w:tr>
      <w:tr>
        <w:trPr>
          <w:tblHeader w:val="0"/>
          <w:cantSplit w:val="0"/>
          <w:trHeight w:val="0" w:hRule="auto"/>
        </w:trPr>
        <w:tc>
          <w:tcPr>
            <w:tcW w:w="24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Mount Moriah — Golgotha / Jerusalem</w:t>
            </w:r>
            <w:r/>
          </w:p>
        </w:tc>
        <w:tc>
          <w:tcPr>
            <w:tcW w:w="416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"And Solomon began to build the house of the LORD at Jerusalem in mount Moriah" (2 Chr. 3:1). The Temple Mount — and the surrounding Jerusalem hills including Golgotha — is the same Moriah range. "In the mount of the LORD it shall be seen" (Gen. 22:14) was fulfilled at Calvary.</w:t>
            </w:r>
            <w:r/>
          </w:p>
        </w:tc>
        <w:tc>
          <w:tcPr>
            <w:tcW w:w="2800" w:type="dxa"/>
            <w:shd w:val="solid" w:color="F9F0E0" tmshd="1677721856, 0, 147417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2 Chronicles 3:1; Gen. 22:14</w:t>
            </w:r>
            <w:r/>
          </w:p>
        </w:tc>
      </w:tr>
      <w:tr>
        <w:trPr>
          <w:tblHeader w:val="0"/>
          <w:cantSplit w:val="0"/>
          <w:trHeight w:val="0" w:hRule="auto"/>
        </w:trPr>
        <w:tc>
          <w:tcPr>
            <w:tcW w:w="24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"In the stead of his son" — substitutionary atonement</w:t>
            </w:r>
            <w:r/>
          </w:p>
        </w:tc>
        <w:tc>
          <w:tcPr>
            <w:tcW w:w="416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"Who his own self bore our sins in his own body on the tree." The ram died in Isaac's place; Christ died in ours. The substitutionary principle declared at Moriah is the theological foundation of Calvary.</w:t>
            </w:r>
            <w:r/>
          </w:p>
        </w:tc>
        <w:tc>
          <w:tcPr>
            <w:tcW w:w="2800" w:type="dxa"/>
            <w:shd w:val="solid" w:color="FFF3DC" tmshd="1677721856, 0, 1448038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1 Peter 2:24; Isaiah 53:6</w:t>
            </w:r>
            <w:r/>
          </w:p>
        </w:tc>
      </w:tr>
      <w:tr>
        <w:trPr>
          <w:tblHeader w:val="0"/>
          <w:cantSplit w:val="0"/>
          <w:trHeight w:val="0" w:hRule="auto"/>
        </w:trPr>
        <w:tc>
          <w:tcPr>
            <w:tcW w:w="24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Third day resurrection — Isaac received back</w:t>
            </w:r>
            <w:r/>
          </w:p>
        </w:tc>
        <w:tc>
          <w:tcPr>
            <w:tcW w:w="416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"By faith Abraham, when he was tried, offered up Isaac...accounting that God was able to raise him up, even from the dead; from which also he received him in a figure." Isaac's figurative resurrection on the third day foreshadows Christ's literal resurrection.</w:t>
            </w:r>
            <w:r/>
          </w:p>
        </w:tc>
        <w:tc>
          <w:tcPr>
            <w:tcW w:w="2800" w:type="dxa"/>
            <w:shd w:val="solid" w:color="F9F0E0" tmshd="1677721856, 0, 147417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Hebrews 11:17-19</w:t>
            </w:r>
            <w:r/>
          </w:p>
        </w:tc>
      </w:tr>
      <w:tr>
        <w:trPr>
          <w:tblHeader w:val="0"/>
          <w:cantSplit w:val="0"/>
          <w:trHeight w:val="0" w:hRule="auto"/>
        </w:trPr>
        <w:tc>
          <w:tcPr>
            <w:tcW w:w="24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"In your seed all nations shall be blessed"</w:t>
            </w:r>
            <w:r/>
          </w:p>
        </w:tc>
        <w:tc>
          <w:tcPr>
            <w:tcW w:w="416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"And the scripture, foreseeing that God would justify the heathen through faith, preached before the gospel unto Abraham...And in your seed shall all nations of the earth be blessed; because you have obeyed my voice." Paul identifies this seed as Christ.</w:t>
            </w:r>
            <w:r/>
          </w:p>
        </w:tc>
        <w:tc>
          <w:tcPr>
            <w:tcW w:w="2800" w:type="dxa"/>
            <w:shd w:val="solid" w:color="FFF3DC" tmshd="1677721856, 0, 1448038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Galatians 3:8; Genesis 22:18</w:t>
            </w:r>
            <w:r/>
          </w:p>
        </w:tc>
      </w:tr>
      <w:tr>
        <w:trPr>
          <w:tblHeader w:val="0"/>
          <w:cantSplit w:val="0"/>
          <w:trHeight w:val="0" w:hRule="auto"/>
        </w:trPr>
        <w:tc>
          <w:tcPr>
            <w:tcW w:w="24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4" w:space="0" w:color="000000" tmln="1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Jehovah-jireh — "The LORD will provide"</w:t>
            </w:r>
            <w:r/>
          </w:p>
        </w:tc>
        <w:tc>
          <w:tcPr>
            <w:tcW w:w="416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4" w:space="0" w:color="000000" tmln="1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"But my God shall supply all your need according to his riches in glory by Christ Jesus." The provision of Jehovah-jireh reaches its ultimate expression in the cross — the eternal supply for mankind's greatest need: forgiveness of sins.</w:t>
            </w:r>
            <w:r/>
          </w:p>
        </w:tc>
        <w:tc>
          <w:tcPr>
            <w:tcW w:w="2800" w:type="dxa"/>
            <w:shd w:val="solid" w:color="F9F0E0" tmshd="1677721856, 0, 14741753"/>
            <w:tcMar>
              <w:top w:w="80" w:type="dxa"/>
              <w:left w:w="120" w:type="dxa"/>
              <w:bottom w:w="80" w:type="dxa"/>
              <w:right w:w="120" w:type="dxa"/>
            </w:tcMar>
            <w:tcBorders>
              <w:top w:val="single" w:sz="8" w:space="0" w:color="5C3A00" tmln="20, 20, 20, 0, 0"/>
              <w:left w:val="single" w:sz="8" w:space="0" w:color="5C3A00" tmln="20, 20, 20, 0, 0"/>
              <w:bottom w:val="single" w:sz="4" w:space="0" w:color="000000" tmln="1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Philippians 4:19; Romans 8:32</w:t>
            </w:r>
            <w:r/>
          </w:p>
        </w:tc>
      </w:tr>
    </w:tbl>
    <w:p>
      <w:pPr>
        <w:spacing w:before="60" w:after="60"/>
      </w:pPr>
      <w:r/>
    </w:p>
    <w:p>
      <w:pPr>
        <w:spacing w:before="120" w:after="120"/>
        <w:pBdr>
          <w:top w:val="nil" w:sz="0" w:space="3" w:color="000000" tmln="20, 20, 20, 0, 60"/>
          <w:left w:val="nil" w:sz="0" w:space="3" w:color="000000" tmln="20, 20, 20, 0, 60"/>
          <w:bottom w:val="single" w:sz="6" w:space="1" w:color="8B4513"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3b1f00"/>
        </w:rPr>
        <w:t>IV. Theological Commentary</w:t>
      </w:r>
      <w:r/>
    </w:p>
    <w:p>
      <w:pPr>
        <w:spacing w:before="80" w:after="80"/>
      </w:pPr>
      <w:r>
        <w:t>The following commentary reflects the conservative Church of Christ interpretation, which takes the typological fulfillment of Genesis 22 with full New Testament seriousness.</w:t>
      </w:r>
    </w:p>
    <w:p>
      <w:pPr>
        <w:spacing w:before="60" w:after="60"/>
      </w:pPr>
      <w:r/>
    </w:p>
    <w:tbl>
      <w:tblPr>
        <w:name w:val="Table4"/>
        <w:tabOrder w:val="0"/>
        <w:jc w:val="left"/>
        <w:tblInd w:w="0" w:type="dxa"/>
        <w:tblW w:w="9360" w:type="dxa"/>
      </w:tblPr>
      <w:tblGrid>
        <w:gridCol w:w="2400"/>
        <w:gridCol w:w="6960"/>
      </w:tblGrid>
      <w:tr>
        <w:trPr>
          <w:tblHeader/>
          <w:cantSplit w:val="0"/>
          <w:trHeight w:val="0" w:hRule="auto"/>
        </w:trPr>
        <w:tc>
          <w:tcPr>
            <w:tcW w:w="2400" w:type="dxa"/>
            <w:vAlign w:val="center"/>
            <w:shd w:val="solid" w:color="3B1F00" tmshd="1677721856, 0, 7995"/>
            <w:tcMar>
              <w:top w:w="100" w:type="dxa"/>
              <w:left w:w="120" w:type="dxa"/>
              <w:bottom w:w="100" w:type="dxa"/>
              <w:right w:w="120" w:type="dxa"/>
            </w:tcMar>
            <w:tcBorders>
              <w:top w:val="single" w:sz="8" w:space="0" w:color="3B1F00" tmln="20, 20, 20, 0, 0"/>
              <w:left w:val="single" w:sz="8" w:space="0" w:color="3B1F00" tmln="20, 20, 20, 0, 0"/>
              <w:bottom w:val="single" w:sz="8" w:space="0" w:color="3B1F00" tmln="20, 20, 20, 0, 0"/>
              <w:right w:val="single" w:sz="8" w:space="0" w:color="3B1F00" tmln="20, 20, 20, 0, 0"/>
              <w:tl2br w:val="nil" w:sz="0" w:space="0" w:color="000000" tmln="20, 20, 20, 0, 0"/>
              <w:tr2bl w:val="nil" w:sz="0" w:space="0" w:color="000000" tmln="20, 20, 20, 0, 0"/>
            </w:tcBorders>
            <w:tmTcPr id="1773280087" protected="0"/>
          </w:tcPr>
          <w:p>
            <w:pPr>
              <w:spacing/>
              <w:jc w:val="center"/>
            </w:pPr>
            <w:r>
              <w:rPr>
                <w:b/>
                <w:bCs/>
                <w:color w:val="ffffff"/>
                <w:sz w:val="20"/>
                <w:szCs w:val="20"/>
              </w:rPr>
              <w:t>Theological Point</w:t>
            </w:r>
            <w:r/>
          </w:p>
        </w:tc>
        <w:tc>
          <w:tcPr>
            <w:tcW w:w="6960" w:type="dxa"/>
            <w:vAlign w:val="center"/>
            <w:shd w:val="solid" w:color="3B1F00" tmshd="1677721856, 0, 7995"/>
            <w:tcMar>
              <w:top w:w="100" w:type="dxa"/>
              <w:left w:w="120" w:type="dxa"/>
              <w:bottom w:w="100" w:type="dxa"/>
              <w:right w:w="120" w:type="dxa"/>
            </w:tcMar>
            <w:tcBorders>
              <w:top w:val="single" w:sz="8" w:space="0" w:color="3B1F00" tmln="20, 20, 20, 0, 0"/>
              <w:left w:val="single" w:sz="8" w:space="0" w:color="3B1F00" tmln="20, 20, 20, 0, 0"/>
              <w:bottom w:val="single" w:sz="8" w:space="0" w:color="3B1F00" tmln="20, 20, 20, 0, 0"/>
              <w:right w:val="single" w:sz="8" w:space="0" w:color="3B1F00" tmln="20, 20, 20, 0, 0"/>
              <w:tl2br w:val="nil" w:sz="0" w:space="0" w:color="000000" tmln="20, 20, 20, 0, 0"/>
              <w:tr2bl w:val="nil" w:sz="0" w:space="0" w:color="000000" tmln="20, 20, 20, 0, 0"/>
            </w:tcBorders>
            <w:tmTcPr id="1773280087" protected="0"/>
          </w:tcPr>
          <w:p>
            <w:pPr>
              <w:spacing/>
              <w:jc w:val="center"/>
            </w:pPr>
            <w:r>
              <w:rPr>
                <w:b/>
                <w:bCs/>
                <w:color w:val="ffffff"/>
                <w:sz w:val="20"/>
                <w:szCs w:val="20"/>
              </w:rPr>
              <w:t>Commentary (Conservative Church of Christ Perspective)</w:t>
            </w:r>
            <w:r/>
          </w:p>
        </w:tc>
      </w:tr>
      <w:tr>
        <w:trPr>
          <w:tblHeader w:val="0"/>
          <w:cantSplit w:val="0"/>
          <w:trHeight w:val="0" w:hRule="auto"/>
        </w:trPr>
        <w:tc>
          <w:tcPr>
            <w:tcW w:w="24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The Supreme Old Testament Type</w:t>
            </w:r>
            <w:r/>
          </w:p>
        </w:tc>
        <w:tc>
          <w:tcPr>
            <w:tcW w:w="696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The Akedah (the Binding of Isaac) stands as the single most developed typological preview of the atonement in the entire Old Testament. No other passage so comprehensively prefigures the substitutionary sacrifice of Christ: the beloved son, the wood, the mountain, the three days, the substituted victim, the divine provision. Conservative Church of Christ hermeneutics, which takes typology seriously while anchoring it in New Testament confirmation (Heb. 11:17-19; John 1:29), regards Genesis 22 as one of the most theologically dense chapters in Scripture.</w:t>
            </w:r>
            <w:r/>
          </w:p>
        </w:tc>
      </w:tr>
      <w:tr>
        <w:trPr>
          <w:tblHeader w:val="0"/>
          <w:cantSplit w:val="0"/>
          <w:trHeight w:val="0" w:hRule="auto"/>
        </w:trPr>
        <w:tc>
          <w:tcPr>
            <w:tcW w:w="24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"God Will Provide Himself"</w:t>
            </w:r>
            <w:r/>
          </w:p>
        </w:tc>
        <w:tc>
          <w:tcPr>
            <w:tcW w:w="696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The reflexive force of the Hebrew — Elohim yireh lo — carries profound theological weight. God does not merely arrange for an external provision; God Himself is the provision. This anticipates the Incarnation: "God was in Christ, reconciling the world unto himself" (2 Cor. 5:19). The Father did not send an angel, a prophet, or a system of laws to atone for sin — He provided Himself, in the person of His Son.</w:t>
            </w:r>
            <w:r/>
          </w:p>
        </w:tc>
      </w:tr>
      <w:tr>
        <w:trPr>
          <w:tblHeader w:val="0"/>
          <w:cantSplit w:val="0"/>
          <w:trHeight w:val="0" w:hRule="auto"/>
        </w:trPr>
        <w:tc>
          <w:tcPr>
            <w:tcW w:w="24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Substitutionary Atonement Established</w:t>
            </w:r>
            <w:r/>
          </w:p>
        </w:tc>
        <w:tc>
          <w:tcPr>
            <w:tcW w:w="696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"In the stead of his son" (Gen. 22:13) is the clearest expression of substitution before Leviticus. The ram dies so Isaac lives. This is the theological logic of the entire Levitical sacrificial system, which itself points forward to the one final sacrifice of Christ: "But this man, after he had offered one sacrifice for sins forever, sat down on the right hand of God" (Heb. 10:12). The Akedah is not an isolated story — it is the theological template for Calvary.</w:t>
            </w:r>
            <w:r/>
          </w:p>
        </w:tc>
      </w:tr>
      <w:tr>
        <w:trPr>
          <w:tblHeader w:val="0"/>
          <w:cantSplit w:val="0"/>
          <w:trHeight w:val="0" w:hRule="auto"/>
        </w:trPr>
        <w:tc>
          <w:tcPr>
            <w:tcW w:w="24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Abraham's Faith as a Model</w:t>
            </w:r>
            <w:r/>
          </w:p>
        </w:tc>
        <w:tc>
          <w:tcPr>
            <w:tcW w:w="696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James 2:21-23 appeals directly to this event: "Was not Abraham our father justified by works, when he had offered Isaac his son upon the altar? ...and the scripture was fulfilled which says, Abraham believed God, and it was imputed unto him for righteousness." From a Church of Christ perspective, Abraham's obedient faith — faith that acts — is the model of saving faith. Belief without obedience is dead (Jas. 2:26).</w:t>
            </w:r>
            <w:r/>
          </w:p>
        </w:tc>
      </w:tr>
      <w:tr>
        <w:trPr>
          <w:tblHeader w:val="0"/>
          <w:cantSplit w:val="0"/>
          <w:trHeight w:val="0" w:hRule="auto"/>
        </w:trPr>
        <w:tc>
          <w:tcPr>
            <w:tcW w:w="24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Moriah and Calvary</w:t>
            </w:r>
            <w:r/>
          </w:p>
        </w:tc>
        <w:tc>
          <w:tcPr>
            <w:tcW w:w="696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The geographical connection between Moriah (Gen. 22:2), the Temple Mount (2 Chr. 3:1), and Golgotha (the hill of crucifixion outside Jerusalem's walls) is not coincidental — it is providential. "In the mount of the LORD it shall be seen" (Gen. 22:14) was a forward-looking statement. God marked the location of the ultimate sacrifice nearly two millennia before the cross. The Lamb of God was slain in the very region where Abraham proved he would not withhold his only son.</w:t>
            </w:r>
            <w:r/>
          </w:p>
        </w:tc>
      </w:tr>
      <w:tr>
        <w:trPr>
          <w:tblHeader w:val="0"/>
          <w:cantSplit w:val="0"/>
          <w:trHeight w:val="0" w:hRule="auto"/>
        </w:trPr>
        <w:tc>
          <w:tcPr>
            <w:tcW w:w="240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The Resurrection in Figure</w:t>
            </w:r>
            <w:r/>
          </w:p>
        </w:tc>
        <w:tc>
          <w:tcPr>
            <w:tcW w:w="6960" w:type="dxa"/>
            <w:shd w:val="solid" w:color="F5ECD6" tmshd="1677721856, 0, 14085365"/>
            <w:tcMar>
              <w:top w:w="80" w:type="dxa"/>
              <w:left w:w="120" w:type="dxa"/>
              <w:bottom w:w="80" w:type="dxa"/>
              <w:right w:w="120" w:type="dxa"/>
            </w:tcMar>
            <w:tcBorders>
              <w:top w:val="single" w:sz="8" w:space="0" w:color="5C3A00" tmln="20, 20, 20, 0, 0"/>
              <w:left w:val="single" w:sz="8" w:space="0" w:color="5C3A00" tmln="20, 20, 20, 0, 0"/>
              <w:bottom w:val="single" w:sz="8" w:space="0" w:color="5C3A00" tmln="2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Hebrews 11:19 states that Abraham received Isaac back "in a figure" — a parabole, a parable or type. Isaac's restoration on the third day is the closest the Old Testament comes to a resurrection narrative, and it is deliberately typological. The New Testament writer is explicit: this was a figure pointing to Christ's actual resurrection. Death and restoration on the third day did not begin at the empty tomb — it was acted out on Moriah a thousand years before.</w:t>
            </w:r>
            <w:r/>
          </w:p>
        </w:tc>
      </w:tr>
      <w:tr>
        <w:trPr>
          <w:tblHeader w:val="0"/>
          <w:cantSplit w:val="0"/>
          <w:trHeight w:val="0" w:hRule="auto"/>
        </w:trPr>
        <w:tc>
          <w:tcPr>
            <w:tcW w:w="240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4" w:space="0" w:color="000000" tmln="10, 20, 20, 0, 0"/>
              <w:right w:val="single" w:sz="8" w:space="0" w:color="5C3A00" tmln="20, 20, 20, 0, 0"/>
              <w:tl2br w:val="nil" w:sz="0" w:space="0" w:color="000000" tmln="20, 20, 20, 0, 0"/>
              <w:tr2bl w:val="nil" w:sz="0" w:space="0" w:color="000000" tmln="20, 20, 20, 0, 0"/>
            </w:tcBorders>
            <w:tmTcPr id="1773280087" protected="0"/>
          </w:tcPr>
          <w:p>
            <w:pPr/>
            <w:r>
              <w:rPr>
                <w:b/>
                <w:bCs/>
                <w:color w:val="3b1f00"/>
                <w:sz w:val="20"/>
                <w:szCs w:val="20"/>
              </w:rPr>
              <w:t>"In Your Seed" — The Gospel Preached to Abraham</w:t>
            </w:r>
            <w:r/>
          </w:p>
        </w:tc>
        <w:tc>
          <w:tcPr>
            <w:tcW w:w="6960" w:type="dxa"/>
            <w:shd w:val="solid" w:color="FDF5E6" tmshd="1677721856, 0, 15136253"/>
            <w:tcMar>
              <w:top w:w="80" w:type="dxa"/>
              <w:left w:w="120" w:type="dxa"/>
              <w:bottom w:w="80" w:type="dxa"/>
              <w:right w:w="120" w:type="dxa"/>
            </w:tcMar>
            <w:tcBorders>
              <w:top w:val="single" w:sz="8" w:space="0" w:color="5C3A00" tmln="20, 20, 20, 0, 0"/>
              <w:left w:val="single" w:sz="8" w:space="0" w:color="5C3A00" tmln="20, 20, 20, 0, 0"/>
              <w:bottom w:val="single" w:sz="4" w:space="0" w:color="000000" tmln="10, 20, 20, 0, 0"/>
              <w:right w:val="single" w:sz="8" w:space="0" w:color="5C3A00" tmln="20, 20, 20, 0, 0"/>
              <w:tl2br w:val="nil" w:sz="0" w:space="0" w:color="000000" tmln="20, 20, 20, 0, 0"/>
              <w:tr2bl w:val="nil" w:sz="0" w:space="0" w:color="000000" tmln="20, 20, 20, 0, 0"/>
            </w:tcBorders>
            <w:tmTcPr id="1773280087" protected="0"/>
          </w:tcPr>
          <w:p>
            <w:pPr/>
            <w:r>
              <w:rPr>
                <w:sz w:val="20"/>
                <w:szCs w:val="20"/>
              </w:rPr>
              <w:t>Galatians 3:8 states that God "preached before the gospel unto Abraham" through the promise of blessing to all nations in his seed. Genesis 22:18 — spoken immediately after the Akedah — is the fullest expression of this gospel promise. Paul identifies the singular seed as Christ (Gal. 3:16). The conservative Church of Christ affirms: there is one gospel, one seed, one sacrifice, one Savior — and all of it was shadowed forth on Mount Moriah.</w:t>
            </w:r>
            <w:r/>
          </w:p>
        </w:tc>
      </w:tr>
    </w:tbl>
    <w:p>
      <w:pPr>
        <w:spacing w:before="60" w:after="60"/>
      </w:pPr>
      <w:r/>
    </w:p>
    <w:p>
      <w:pPr>
        <w:spacing w:before="120" w:after="120"/>
        <w:pBdr>
          <w:top w:val="nil" w:sz="0" w:space="3" w:color="000000" tmln="20, 20, 20, 0, 60"/>
          <w:left w:val="nil" w:sz="0" w:space="3" w:color="000000" tmln="20, 20, 20, 0, 60"/>
          <w:bottom w:val="single" w:sz="6" w:space="1" w:color="8B4513"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3b1f00"/>
        </w:rPr>
        <w:t>V. Conclusion</w:t>
      </w:r>
      <w:r/>
    </w:p>
    <w:p>
      <w:pPr>
        <w:spacing w:before="80" w:after="80"/>
      </w:pPr>
      <w:r>
        <w:t>When Isaac asked, "Where is the lamb?" he voiced the question of the entire Old Testament sacrificial order. Thousands of lambs, bulls, and goats were offered across the centuries — yet none could permanently answer that question. The author of Hebrews is explicit: "For it is not possible that the blood of bulls and of goats should take away sins" (Heb. 10:4, AKJV).</w:t>
      </w:r>
    </w:p>
    <w:p>
      <w:pPr>
        <w:spacing w:before="60" w:after="60"/>
      </w:pPr>
      <w:r/>
    </w:p>
    <w:p>
      <w:pPr>
        <w:spacing w:before="80" w:after="80"/>
      </w:pPr>
      <w:r>
        <w:t>Abraham's answer — "God will provide himself a lamb" — was a statement of faith that outran his own understanding. He could not have known that nearly two thousand years later, on the same mountain range, the God of all grace would do precisely what Abraham declared: provide Himself, in the person of His only begotten Son, as the Lamb who takes away the sin of the world.</w:t>
      </w:r>
    </w:p>
    <w:p>
      <w:pPr>
        <w:spacing w:before="60" w:after="60"/>
      </w:pPr>
      <w:r/>
    </w:p>
    <w:p>
      <w:pPr>
        <w:spacing w:before="80" w:after="80"/>
      </w:pPr>
      <w:r>
        <w:t>Conservative Church of Christ theology affirms that the cross is the event to which all of Scripture — from Genesis 3:15 to Malachi — was pointing. Genesis 22:8 is perhaps the clearest single statement of that divine intention before the New Testament itself: God will provide the Lamb. He did. His name is Jesus.</w:t>
      </w:r>
    </w:p>
    <w:p>
      <w:pPr>
        <w:spacing w:before="60" w:after="60"/>
      </w:pPr>
      <w:r/>
    </w:p>
    <w:p>
      <w:pPr>
        <w:spacing w:before="80" w:after="80"/>
      </w:pPr>
      <w:r>
        <w:rPr>
          <w:i/>
          <w:iCs/>
          <w:color w:val="3b2a1a"/>
        </w:rPr>
        <w:t>"Behold the Lamb of God, which takes away the sin of the world."  — John 1:29 (AKJV)</w:t>
      </w:r>
      <w:r/>
    </w:p>
    <w:p>
      <w:pPr>
        <w:spacing w:before="60" w:after="60"/>
      </w:pPr>
      <w:r/>
    </w:p>
    <w:p>
      <w:pPr>
        <w:spacing w:before="120" w:after="120"/>
        <w:pBdr>
          <w:top w:val="nil" w:sz="0" w:space="3" w:color="000000" tmln="20, 20, 20, 0, 60"/>
          <w:left w:val="nil" w:sz="0" w:space="3" w:color="000000" tmln="20, 20, 20, 0, 60"/>
          <w:bottom w:val="single" w:sz="6" w:space="1" w:color="8B4513" tmln="15, 20, 20, 0, 20"/>
          <w:right w:val="nil" w:sz="0" w:space="3" w:color="000000" tmln="20, 20, 20, 0, 60"/>
          <w:between w:val="nil" w:sz="0" w:space="0" w:color="000000" tmln="20, 20, 20, 0, 0"/>
        </w:pBdr>
        <w:shd w:val="none"/>
      </w:pPr>
      <w:r/>
    </w:p>
    <w:p>
      <w:pPr>
        <w:spacing w:before="120"/>
        <w:jc w:val="center"/>
      </w:pPr>
      <w:r>
        <w:rPr>
          <w:i/>
          <w:iCs/>
          <w:color w:val="888888"/>
          <w:sz w:val="18"/>
          <w:szCs w:val="18"/>
        </w:rPr>
        <w:t>All Scripture quotations from the American King James Version (AKJV)</w:t>
      </w:r>
      <w:r/>
    </w:p>
    <w:sectPr>
      <w:footnotePr>
        <w:pos w:val="pageBottom"/>
        <w:numFmt w:val="decimal"/>
        <w:numStart w:val="1"/>
        <w:numRestart w:val="continuous"/>
      </w:footnotePr>
      <w:endnotePr>
        <w:pos w:val="docEnd"/>
        <w:numFmt w:val="lowerRoman"/>
        <w:numStart w:val="1"/>
        <w:numRestart w:val="continuous"/>
      </w:endnotePr>
      <w:type w:val="nextPage"/>
      <w:pgSz w:h="15840" w:w="12240"/>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280087"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hAnsi="Georgia" w:eastAsia="Georgia" w:cs="Georgia"/>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Georgia" w:hAnsi="Georgia" w:eastAsia="Georgia" w:cs="Georgia"/>
      <w:sz w:val="56"/>
      <w:szCs w:val="56"/>
    </w:rPr>
  </w:style>
  <w:style w:type="paragraph" w:styleId="para2">
    <w:name w:val="heading 1"/>
    <w:qFormat/>
    <w:rPr>
      <w:rFonts w:ascii="Georgia" w:hAnsi="Georgia" w:eastAsia="Georgia" w:cs="Georgia"/>
      <w:color w:val="2e74b5"/>
      <w:sz w:val="32"/>
      <w:szCs w:val="32"/>
    </w:rPr>
  </w:style>
  <w:style w:type="paragraph" w:styleId="para3">
    <w:name w:val="heading 2"/>
    <w:qFormat/>
    <w:rPr>
      <w:rFonts w:ascii="Georgia" w:hAnsi="Georgia" w:eastAsia="Georgia" w:cs="Georgia"/>
      <w:color w:val="2e74b5"/>
      <w:sz w:val="26"/>
      <w:szCs w:val="26"/>
    </w:rPr>
  </w:style>
  <w:style w:type="paragraph" w:styleId="para4">
    <w:name w:val="heading 3"/>
    <w:qFormat/>
    <w:rPr>
      <w:rFonts w:ascii="Georgia" w:hAnsi="Georgia" w:eastAsia="Georgia" w:cs="Georgia"/>
      <w:color w:val="1f4d78"/>
      <w:sz w:val="24"/>
      <w:szCs w:val="24"/>
    </w:rPr>
  </w:style>
  <w:style w:type="paragraph" w:styleId="para5">
    <w:name w:val="heading 4"/>
    <w:qFormat/>
    <w:rPr>
      <w:rFonts w:ascii="Georgia" w:hAnsi="Georgia" w:eastAsia="Georgia" w:cs="Georgia"/>
      <w:i/>
      <w:iCs/>
      <w:color w:val="2e74b5"/>
      <w:sz w:val="22"/>
      <w:szCs w:val="22"/>
    </w:rPr>
  </w:style>
  <w:style w:type="paragraph" w:styleId="para6">
    <w:name w:val="heading 5"/>
    <w:qFormat/>
    <w:rPr>
      <w:rFonts w:ascii="Georgia" w:hAnsi="Georgia" w:eastAsia="Georgia" w:cs="Georgia"/>
      <w:color w:val="2e74b5"/>
      <w:sz w:val="22"/>
      <w:szCs w:val="22"/>
    </w:rPr>
  </w:style>
  <w:style w:type="paragraph" w:styleId="para7">
    <w:name w:val="heading 6"/>
    <w:qFormat/>
    <w:rPr>
      <w:rFonts w:ascii="Georgia" w:hAnsi="Georgia" w:eastAsia="Georgia" w:cs="Georgia"/>
      <w:color w:val="1f4d78"/>
      <w:sz w:val="22"/>
      <w:szCs w:val="22"/>
    </w:rPr>
  </w:style>
  <w:style w:type="paragraph" w:styleId="para8" w:customStyle="1">
    <w:name w:val="Strong"/>
    <w:qFormat/>
    <w:rPr>
      <w:rFonts w:ascii="Georgia" w:hAnsi="Georgia" w:eastAsia="Georgia" w:cs="Georgia"/>
      <w:b/>
      <w:bCs/>
      <w:sz w:val="22"/>
      <w:szCs w:val="22"/>
    </w:rPr>
  </w:style>
  <w:style w:type="paragraph" w:styleId="para9">
    <w:name w:val="List Paragraph"/>
    <w:qFormat/>
    <w:rPr>
      <w:rFonts w:ascii="Georgia" w:hAnsi="Georgia" w:eastAsia="Georgia" w:cs="Georgia"/>
      <w:sz w:val="22"/>
      <w:szCs w:val="22"/>
    </w:rPr>
  </w:style>
  <w:style w:type="paragraph" w:styleId="para10">
    <w:name w:val="Footnote Text"/>
    <w:qFormat/>
    <w:rPr>
      <w:rFonts w:ascii="Georgia" w:hAnsi="Georgia" w:eastAsia="Georgia" w:cs="Georgia"/>
    </w:rPr>
  </w:style>
  <w:style w:type="paragraph" w:styleId="para11" w:customStyle="1">
    <w:name w:val="Heading 1*"/>
    <w:qFormat/>
    <w:pPr>
      <w:spacing w:before="300" w:after="160"/>
    </w:pPr>
    <w:rPr>
      <w:rFonts w:ascii="Georgia" w:hAnsi="Georgia" w:eastAsia="Georgia" w:cs="Georgia"/>
      <w:b/>
      <w:bCs/>
      <w:color w:val="3b1f00"/>
      <w:sz w:val="32"/>
      <w:szCs w:val="32"/>
    </w:rPr>
  </w:style>
  <w:style w:type="paragraph" w:styleId="para12" w:customStyle="1">
    <w:name w:val="Heading 2*"/>
    <w:qFormat/>
    <w:pPr>
      <w:spacing w:before="240" w:after="120"/>
    </w:pPr>
    <w:rPr>
      <w:rFonts w:ascii="Georgia" w:hAnsi="Georgia" w:eastAsia="Georgia" w:cs="Georgia"/>
      <w:b/>
      <w:bCs/>
      <w:color w:val="3b1f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Georgia" w:hAnsi="Georgia" w:eastAsia="Georgia" w:cs="Georgia"/>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Georgia" w:hAnsi="Georgia" w:eastAsia="Georgia" w:cs="Georgia"/>
      <w:sz w:val="56"/>
      <w:szCs w:val="56"/>
    </w:rPr>
  </w:style>
  <w:style w:type="paragraph" w:styleId="para2">
    <w:name w:val="heading 1"/>
    <w:qFormat/>
    <w:rPr>
      <w:rFonts w:ascii="Georgia" w:hAnsi="Georgia" w:eastAsia="Georgia" w:cs="Georgia"/>
      <w:color w:val="2e74b5"/>
      <w:sz w:val="32"/>
      <w:szCs w:val="32"/>
    </w:rPr>
  </w:style>
  <w:style w:type="paragraph" w:styleId="para3">
    <w:name w:val="heading 2"/>
    <w:qFormat/>
    <w:rPr>
      <w:rFonts w:ascii="Georgia" w:hAnsi="Georgia" w:eastAsia="Georgia" w:cs="Georgia"/>
      <w:color w:val="2e74b5"/>
      <w:sz w:val="26"/>
      <w:szCs w:val="26"/>
    </w:rPr>
  </w:style>
  <w:style w:type="paragraph" w:styleId="para4">
    <w:name w:val="heading 3"/>
    <w:qFormat/>
    <w:rPr>
      <w:rFonts w:ascii="Georgia" w:hAnsi="Georgia" w:eastAsia="Georgia" w:cs="Georgia"/>
      <w:color w:val="1f4d78"/>
      <w:sz w:val="24"/>
      <w:szCs w:val="24"/>
    </w:rPr>
  </w:style>
  <w:style w:type="paragraph" w:styleId="para5">
    <w:name w:val="heading 4"/>
    <w:qFormat/>
    <w:rPr>
      <w:rFonts w:ascii="Georgia" w:hAnsi="Georgia" w:eastAsia="Georgia" w:cs="Georgia"/>
      <w:i/>
      <w:iCs/>
      <w:color w:val="2e74b5"/>
      <w:sz w:val="22"/>
      <w:szCs w:val="22"/>
    </w:rPr>
  </w:style>
  <w:style w:type="paragraph" w:styleId="para6">
    <w:name w:val="heading 5"/>
    <w:qFormat/>
    <w:rPr>
      <w:rFonts w:ascii="Georgia" w:hAnsi="Georgia" w:eastAsia="Georgia" w:cs="Georgia"/>
      <w:color w:val="2e74b5"/>
      <w:sz w:val="22"/>
      <w:szCs w:val="22"/>
    </w:rPr>
  </w:style>
  <w:style w:type="paragraph" w:styleId="para7">
    <w:name w:val="heading 6"/>
    <w:qFormat/>
    <w:rPr>
      <w:rFonts w:ascii="Georgia" w:hAnsi="Georgia" w:eastAsia="Georgia" w:cs="Georgia"/>
      <w:color w:val="1f4d78"/>
      <w:sz w:val="22"/>
      <w:szCs w:val="22"/>
    </w:rPr>
  </w:style>
  <w:style w:type="paragraph" w:styleId="para8" w:customStyle="1">
    <w:name w:val="Strong"/>
    <w:qFormat/>
    <w:rPr>
      <w:rFonts w:ascii="Georgia" w:hAnsi="Georgia" w:eastAsia="Georgia" w:cs="Georgia"/>
      <w:b/>
      <w:bCs/>
      <w:sz w:val="22"/>
      <w:szCs w:val="22"/>
    </w:rPr>
  </w:style>
  <w:style w:type="paragraph" w:styleId="para9">
    <w:name w:val="List Paragraph"/>
    <w:qFormat/>
    <w:rPr>
      <w:rFonts w:ascii="Georgia" w:hAnsi="Georgia" w:eastAsia="Georgia" w:cs="Georgia"/>
      <w:sz w:val="22"/>
      <w:szCs w:val="22"/>
    </w:rPr>
  </w:style>
  <w:style w:type="paragraph" w:styleId="para10">
    <w:name w:val="Footnote Text"/>
    <w:qFormat/>
    <w:rPr>
      <w:rFonts w:ascii="Georgia" w:hAnsi="Georgia" w:eastAsia="Georgia" w:cs="Georgia"/>
    </w:rPr>
  </w:style>
  <w:style w:type="paragraph" w:styleId="para11" w:customStyle="1">
    <w:name w:val="Heading 1*"/>
    <w:qFormat/>
    <w:pPr>
      <w:spacing w:before="300" w:after="160"/>
    </w:pPr>
    <w:rPr>
      <w:rFonts w:ascii="Georgia" w:hAnsi="Georgia" w:eastAsia="Georgia" w:cs="Georgia"/>
      <w:b/>
      <w:bCs/>
      <w:color w:val="3b1f00"/>
      <w:sz w:val="32"/>
      <w:szCs w:val="32"/>
    </w:rPr>
  </w:style>
  <w:style w:type="paragraph" w:styleId="para12" w:customStyle="1">
    <w:name w:val="Heading 2*"/>
    <w:qFormat/>
    <w:pPr>
      <w:spacing w:before="240" w:after="120"/>
    </w:pPr>
    <w:rPr>
      <w:rFonts w:ascii="Georgia" w:hAnsi="Georgia" w:eastAsia="Georgia" w:cs="Georgia"/>
      <w:b/>
      <w:bCs/>
      <w:color w:val="3b1f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eorgia"/>
        <a:ea typeface="Georgia"/>
        <a:cs typeface="Georgia"/>
      </a:majorFont>
      <a:minorFont>
        <a:latin typeface="Georgia"/>
        <a:ea typeface="Georgia"/>
        <a:cs typeface="Georg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2026-03-12T01:48:07Z</dcterms:created>
  <dcterms:modified xsi:type="dcterms:W3CDTF">2026-03-12T01:48:07Z</dcterms:modified>
</cp:coreProperties>
</file>