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Leviticus 14:11</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rPr>
        <w:t>The Cleansing of the Leper as Type of Christ  |  American King James Version</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Leviticus 14:11 (AKJV) in Context (vv. 1–7, 11)</w:t>
      </w:r>
      <w:r/>
    </w:p>
    <w:p>
      <w:pPr>
        <w:spacing w:before="80" w:after="80"/>
      </w:pPr>
      <w:r>
        <w:rPr>
          <w:color w:val="1a1a2e"/>
        </w:rPr>
        <w:t>Verse 11 is the climax of the cleansing ceremony for the leper (Lev 14:1–32). To understand its full Messianic weight, the entire ritual must be examined. The relevant verses are presented below.</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14:1–2  </w:t>
      </w:r>
      <w:r>
        <w:rPr>
          <w:i/>
          <w:iCs/>
          <w:color w:val="1a1a2e"/>
          <w:sz w:val="19"/>
          <w:szCs w:val="19"/>
        </w:rPr>
        <w:t>And the LORD spoke unto Moses, saying, This shall be the law of the leper in the day of his cleansing: He shall be brought unto the priest.</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14:3  </w:t>
      </w:r>
      <w:r>
        <w:rPr>
          <w:i/>
          <w:iCs/>
          <w:color w:val="1a1a2e"/>
          <w:sz w:val="19"/>
          <w:szCs w:val="19"/>
        </w:rPr>
        <w:t>And the priest shall go forth out of the camp; and the priest shall look, and, behold, if the plague of leprosy be healed in the leper...</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14:4  </w:t>
      </w:r>
      <w:r>
        <w:rPr>
          <w:i/>
          <w:iCs/>
          <w:color w:val="1a1a2e"/>
          <w:sz w:val="19"/>
          <w:szCs w:val="19"/>
        </w:rPr>
        <w:t>Then shall the priest command to take for him that is to be cleansed two birds alive and clean, and cedar wood, and scarlet, and hyssop.</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14:5  </w:t>
      </w:r>
      <w:r>
        <w:rPr>
          <w:i/>
          <w:iCs/>
          <w:color w:val="1a1a2e"/>
          <w:sz w:val="19"/>
          <w:szCs w:val="19"/>
        </w:rPr>
        <w:t>And the priest shall command that one of the birds be killed in an earthen vessel over running water.</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14:6  </w:t>
      </w:r>
      <w:r>
        <w:rPr>
          <w:i/>
          <w:iCs/>
          <w:color w:val="1a1a2e"/>
          <w:sz w:val="19"/>
          <w:szCs w:val="19"/>
        </w:rPr>
        <w:t>As for the living bird, he shall take it, and the cedar wood, and the scarlet, and the hyssop, and shall dip them, with the living bird, in the blood of the bird that was killed over the running water.</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14:7  </w:t>
      </w:r>
      <w:r>
        <w:rPr>
          <w:i/>
          <w:iCs/>
          <w:color w:val="1a1a2e"/>
          <w:sz w:val="19"/>
          <w:szCs w:val="19"/>
        </w:rPr>
        <w:t>And he shall sprinkle on him that is to be cleansed from the leprosy seven times, and shall pronounce him clean, and shall let the living bird loose into the open field.</w:t>
      </w:r>
      <w:r/>
    </w:p>
    <w:p>
      <w:pPr>
        <w:spacing w:before="10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14:11  </w:t>
      </w:r>
      <w:r>
        <w:rPr>
          <w:i/>
          <w:iCs/>
          <w:color w:val="1a1a2e"/>
          <w:sz w:val="19"/>
          <w:szCs w:val="19"/>
        </w:rPr>
        <w:t>And the priest that makes him clean shall present the man that is to be made clean, and those things, before the LORD, at the door of the tabernacle of the congregation.</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Historical and Literary Setting</w:t>
      </w:r>
      <w:r/>
    </w:p>
    <w:p>
      <w:pPr>
        <w:spacing w:before="80" w:after="80"/>
      </w:pPr>
      <w:r>
        <w:rPr>
          <w:color w:val="1a1a2e"/>
        </w:rPr>
        <w:t>Leviticus 14 belongs to the so-called "Holiness Code" of Leviticus (chapters 11–27), which deals with the conditions of ritual cleanliness required for Israel to dwell in the presence of a holy God. Leprosy (Hebrew: tzara'at — a broad term encompassing various serious skin diseases) rendered a person ritually unclean and required expulsion from the camp (Lev 13:46). The leper was not merely physically ill — he was ceremonially cut off from the covenant community and from access to the tabernacle.</w:t>
      </w:r>
      <w:r/>
    </w:p>
    <w:p>
      <w:pPr>
        <w:spacing w:before="80"/>
      </w:pPr>
      <w:r/>
    </w:p>
    <w:p>
      <w:pPr>
        <w:spacing w:before="80" w:after="80"/>
      </w:pPr>
      <w:r>
        <w:rPr>
          <w:color w:val="1a1a2e"/>
        </w:rPr>
        <w:t>Leviticus 14:1–32 provides the two-stage purification rite for a leper whose disease had cleared. The first stage (vv.1–9), which culminates in verse 11, took place outside the camp on the first day. The second stage (vv.10–32) took place on the eighth day at the tabernacle and involved traditional burnt, sin, and grain offerings. Verse 11 is the hinge between the two stages — it is the act of priestly presentation whereby the now-cleansed man is formally brought back into God's presence at the door of the tabernacle.</w:t>
      </w:r>
      <w:r/>
    </w:p>
    <w:p>
      <w:pPr>
        <w:spacing w:before="80"/>
      </w:pPr>
      <w:r/>
    </w:p>
    <w:p>
      <w:pPr>
        <w:spacing w:before="80" w:after="80"/>
      </w:pPr>
      <w:r>
        <w:rPr>
          <w:color w:val="1a1a2e"/>
        </w:rPr>
        <w:t>The ceremony is remarkably complex for a single verse of the law, and its richness is precisely what makes it one of the most profound Messianic types in all of the Torah. Every element — the two birds, the cedar wood, the scarlet thread, the hyssop, the running water, the sevenfold sprinkling, and the priestly presentation — finds its antitype in the person and work of Jesus Christ.</w:t>
      </w:r>
      <w:r/>
    </w:p>
    <w:p>
      <w:pPr>
        <w:spacing w:before="80"/>
      </w:pPr>
      <w:r/>
    </w:p>
    <w:p>
      <w:pPr>
        <w:spacing w:before="240" w:after="100"/>
      </w:pPr>
      <w:r>
        <w:rPr>
          <w:b/>
          <w:bCs/>
          <w:color w:val="2e75b6"/>
          <w:sz w:val="22"/>
          <w:szCs w:val="22"/>
        </w:rPr>
        <w:t>Key Contextual Observations:</w:t>
      </w:r>
      <w:r/>
    </w:p>
    <w:p>
      <w:pPr>
        <w:spacing w:before="80" w:after="80"/>
      </w:pPr>
      <w:r>
        <w:rPr>
          <w:color w:val="1a1a2e"/>
        </w:rPr>
        <w:t>1.  The Leper is Passive (v.2): He is brought to the priest, not the reverse — he is helpless and dependent on priestly action. This mirrors the spiritual condition of the sinner before God.</w:t>
      </w:r>
      <w:r/>
    </w:p>
    <w:p>
      <w:pPr>
        <w:spacing w:before="80" w:after="80"/>
      </w:pPr>
      <w:r>
        <w:rPr>
          <w:color w:val="1a1a2e"/>
        </w:rPr>
        <w:t>2.  The Priest Goes Out (v.3): The priest leaves the camp to meet the leper where he is — outside, among the unclean. This is a powerful foreshadowing of the Incarnation.</w:t>
      </w:r>
      <w:r/>
    </w:p>
    <w:p>
      <w:pPr>
        <w:spacing w:before="80" w:after="80"/>
      </w:pPr>
      <w:r>
        <w:rPr>
          <w:color w:val="1a1a2e"/>
        </w:rPr>
        <w:t>3.  The Ritual Materials (v.4): Cedar wood (strength/incorruption), scarlet (blood/royalty), hyssop (purification/humility), and two birds together constitute an elaborate typological picture of Christ's atoning work.</w:t>
      </w:r>
      <w:r/>
    </w:p>
    <w:p>
      <w:pPr>
        <w:spacing w:before="80" w:after="80"/>
      </w:pPr>
      <w:r>
        <w:rPr>
          <w:color w:val="1a1a2e"/>
        </w:rPr>
        <w:t>4.  Death and Life Intertwined (vv.5–7): One bird dies; the other, bathed in the blood of the slain bird, is released alive. Death and resurrection are inseparable in the logic of atonement.</w:t>
      </w:r>
      <w:r/>
    </w:p>
    <w:p>
      <w:pPr>
        <w:spacing w:before="80" w:after="80"/>
      </w:pPr>
      <w:r>
        <w:rPr>
          <w:color w:val="1a1a2e"/>
        </w:rPr>
        <w:t>5.  Priestly Presentation (v.11): The culminating act is not merely declaring the man clean — it is presenting him before the LORD. Cleansing is not an end in itself; it is restoration of access to God.</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Verse-by-Verse Messianic Analysis with New Testament Fulfillment</w:t>
      </w:r>
      <w:r/>
    </w:p>
    <w:p>
      <w:pPr>
        <w:spacing w:before="80" w:after="80"/>
      </w:pPr>
      <w:r>
        <w:rPr>
          <w:color w:val="1a1a2e"/>
        </w:rPr>
        <w:t>The following table examines the key verses of the leper's cleansing rite, the immediate contextual meaning of each element, and its fulfillment in Christ as witnessed in the New Testament.</w:t>
      </w:r>
      <w:r/>
    </w:p>
    <w:p>
      <w:pPr>
        <w:spacing w:before="100"/>
      </w:pPr>
      <w:r/>
    </w:p>
    <w:tbl>
      <w:tblPr>
        <w:name w:val="Table1"/>
        <w:tabOrder w:val="0"/>
        <w:jc w:val="left"/>
        <w:tblInd w:w="0" w:type="dxa"/>
        <w:tblW w:w="9360" w:type="dxa"/>
      </w:tblPr>
      <w:tblGrid>
        <w:gridCol w:w="900"/>
        <w:gridCol w:w="2760"/>
        <w:gridCol w:w="2100"/>
        <w:gridCol w:w="3600"/>
      </w:tblGrid>
      <w:tr>
        <w:trPr>
          <w:tblHeader/>
          <w:cantSplit w:val="0"/>
          <w:trHeight w:val="0" w:hRule="auto"/>
        </w:trPr>
        <w:tc>
          <w:tcPr>
            <w:tcW w:w="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Verse</w:t>
            </w:r>
            <w:r/>
          </w:p>
        </w:tc>
        <w:tc>
          <w:tcPr>
            <w:tcW w:w="27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AKJV Text</w:t>
            </w:r>
            <w:r/>
          </w:p>
        </w:tc>
        <w:tc>
          <w:tcPr>
            <w:tcW w:w="21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Immediate Context</w:t>
            </w:r>
            <w:r/>
          </w:p>
        </w:tc>
        <w:tc>
          <w:tcPr>
            <w:tcW w:w="3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NT Fulfillment</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Lev 14:1–2</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And the LORD spoke unto Moses, saying, This shall be the law of the leper in the day of his cleansing: He shall be brought unto the priest.</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 leper is passive — he is brought; only the priest can pronounce cleansing</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Mark 1:40–41 — The leper came to Jesus; Christ as the Great High Priest alone can pronounce and effect cleansing.</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Lev 14:3</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And the priest shall go forth out of the camp; and the priest shall look, and, behold, if the plague of leprosy be healed in the leper...</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 priest goes out to where the unclean sinner is — outside the camp</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Luke 15:20; Heb 13:12–13 — Jesus went outside the gate to suffer; He came to where the outcasts were.</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Lev 14:4</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Then shall the priest command to take for him that is to be cleansed two birds alive and clean, and cedar wood, and scarlet, and hyssop.</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Two living birds, cedar wood, scarlet thread, and hyssop — instruments of cleansing</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John 19:29 — Hyssop used at the cross; Heb 9:19 — hyssop used in covenant purification; the materials point to Christ's atoning death.</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Lev 14:5</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And the priest shall command that one of the birds be killed in an earthen vessel over running water.</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One bird slain over running (living) water — death as the basis of cleansing</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Rom 5:8 — Christ died for sinners; 1 John 1:7 — His blood cleanses; the slain bird typifies the death of Christ.</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Lev 14:6</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As for the living bird, he shall take it, and the cedar wood, and the scarlet, and the hyssop, and shall dip them, with the living bird, in the blood of the bird that was killed over the running water.</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 living bird dipped in the blood of the slain bird — life through death</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Rom 6:3–4 — Baptized into His death; we are brought through the blood of Christ into resurrection life.</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Lev 14:7</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And he shall sprinkle on him that is to be cleansed from the leprosy seven times, and shall pronounce him clean, and shall let the living bird loose into the open field.</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Seven-fold sprinkling; pronouncement of clean; the living bird set free</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Heb 9:13–14 — The blood of Christ purges the conscience; John 8:36 — If the Son makes you free, you are free indeed.</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Lev 14:11</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And the priest that makes him clean shall present the man that is to be made clean, and those things, before the LORD, at the door of the tabernacle of the congregation.</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 cleansed man is presented before the LORD by the priest — restored access to God</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Heb 7:25 — Christ ever lives to make intercession; Eph 2:18 — through Him we have access to the Father; Jude 1:24 — He presents us faultless before God.</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Typological Summary — Shadow and Substance</w:t>
      </w:r>
      <w:r/>
    </w:p>
    <w:p>
      <w:pPr>
        <w:spacing w:before="80" w:after="80"/>
      </w:pPr>
      <w:r>
        <w:rPr>
          <w:color w:val="1a1a2e"/>
        </w:rPr>
        <w:t>Each major element of the cleansing ceremony functions as a type of Christ. The following table summarizes these correspondences with supporting New Testament references. As Colossians 2:17 declares, these things "are a shadow of things to come; but the body is of Christ."</w:t>
      </w:r>
      <w:r/>
    </w:p>
    <w:p>
      <w:pPr>
        <w:spacing w:before="100"/>
      </w:pPr>
      <w:r/>
    </w:p>
    <w:tbl>
      <w:tblPr>
        <w:name w:val="Table2"/>
        <w:tabOrder w:val="0"/>
        <w:jc w:val="left"/>
        <w:tblInd w:w="0" w:type="dxa"/>
        <w:tblW w:w="9360" w:type="dxa"/>
      </w:tblPr>
      <w:tblGrid>
        <w:gridCol w:w="2100"/>
        <w:gridCol w:w="2560"/>
        <w:gridCol w:w="2100"/>
        <w:gridCol w:w="2600"/>
      </w:tblGrid>
      <w:tr>
        <w:trPr>
          <w:tblHeader/>
          <w:cantSplit w:val="0"/>
          <w:trHeight w:val="0" w:hRule="auto"/>
        </w:trPr>
        <w:tc>
          <w:tcPr>
            <w:tcW w:w="21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Type / Shadow</w:t>
            </w:r>
            <w:r/>
          </w:p>
        </w:tc>
        <w:tc>
          <w:tcPr>
            <w:tcW w:w="25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Meaning in Context</w:t>
            </w:r>
            <w:r/>
          </w:p>
        </w:tc>
        <w:tc>
          <w:tcPr>
            <w:tcW w:w="21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Antitype (Christ)</w:t>
            </w:r>
            <w:r/>
          </w:p>
        </w:tc>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NT Reference</w:t>
            </w:r>
            <w:r/>
          </w:p>
        </w:tc>
      </w:tr>
      <w:tr>
        <w:trPr>
          <w:tblHeader w:val="0"/>
          <w:cantSplit w:val="0"/>
          <w:trHeight w:val="0" w:hRule="auto"/>
        </w:trPr>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Leprosy</w:t>
            </w:r>
            <w:r/>
          </w:p>
        </w:tc>
        <w:tc>
          <w:tcPr>
            <w:tcW w:w="2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Total defilement — outcast from the community and from God's presence; a picture of sin</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Sin separates man from God (Isa 59:2); all have sinned (Rom 3:23)</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Isa 59:2; Rom 3:23; Eph 2:12</w:t>
            </w:r>
            <w:r/>
          </w:p>
        </w:tc>
      </w:tr>
      <w:tr>
        <w:trPr>
          <w:tblHeader w:val="0"/>
          <w:cantSplit w:val="0"/>
          <w:trHeight w:val="0" w:hRule="auto"/>
        </w:trPr>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 Priest goes out (v.3)</w:t>
            </w:r>
            <w:r/>
          </w:p>
        </w:tc>
        <w:tc>
          <w:tcPr>
            <w:tcW w:w="2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 priest, not the leper, initiates the encounter; the leper cannot come in</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Christ left glory and came to seek and save the lost (Luke 19:10)</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Luke 19:10; John 1:14; Phil 2:7–8</w:t>
            </w:r>
            <w:r/>
          </w:p>
        </w:tc>
      </w:tr>
      <w:tr>
        <w:trPr>
          <w:tblHeader w:val="0"/>
          <w:cantSplit w:val="0"/>
          <w:trHeight w:val="0" w:hRule="auto"/>
        </w:trPr>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Two birds (vv.4–7)</w:t>
            </w:r>
            <w:r/>
          </w:p>
        </w:tc>
        <w:tc>
          <w:tcPr>
            <w:tcW w:w="2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One slain, one living — death and resurrection in tandem</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Christ died and rose; our justification and new life are both grounded in Him</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Rom 4:25; 1 Cor 15:17; Rom 6:4</w:t>
            </w:r>
            <w:r/>
          </w:p>
        </w:tc>
      </w:tr>
      <w:tr>
        <w:trPr>
          <w:tblHeader w:val="0"/>
          <w:cantSplit w:val="0"/>
          <w:trHeight w:val="0" w:hRule="auto"/>
        </w:trPr>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Slain bird / running water (v.5)</w:t>
            </w:r>
            <w:r/>
          </w:p>
        </w:tc>
        <w:tc>
          <w:tcPr>
            <w:tcW w:w="2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Death in the midst of living (running) water — life purchased by death</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Christ's death is the fountain of living water for the sinner</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John 4:14; Rev 1:5; 1 Pet 1:18–19</w:t>
            </w:r>
            <w:r/>
          </w:p>
        </w:tc>
      </w:tr>
      <w:tr>
        <w:trPr>
          <w:tblHeader w:val="0"/>
          <w:cantSplit w:val="0"/>
          <w:trHeight w:val="0" w:hRule="auto"/>
        </w:trPr>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Blood applied — seven times (v.7)</w:t>
            </w:r>
            <w:r/>
          </w:p>
        </w:tc>
        <w:tc>
          <w:tcPr>
            <w:tcW w:w="2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Complete, perfect application of cleansing blood</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Christ's blood perfectly and permanently cleanses all sin</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Heb 10:14; 1 John 1:7; Rev 1:5</w:t>
            </w:r>
            <w:r/>
          </w:p>
        </w:tc>
      </w:tr>
      <w:tr>
        <w:trPr>
          <w:tblHeader w:val="0"/>
          <w:cantSplit w:val="0"/>
          <w:trHeight w:val="0" w:hRule="auto"/>
        </w:trPr>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Living bird released (v.7)</w:t>
            </w:r>
            <w:r/>
          </w:p>
        </w:tc>
        <w:tc>
          <w:tcPr>
            <w:tcW w:w="2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 freed bird soars — the cleansed one is declared free</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Christ rose and ascended; believers share in His resurrection freedom</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Rom 8:1–2; John 8:36; Gal 5:1</w:t>
            </w:r>
            <w:r/>
          </w:p>
        </w:tc>
      </w:tr>
      <w:tr>
        <w:trPr>
          <w:tblHeader w:val="0"/>
          <w:cantSplit w:val="0"/>
          <w:trHeight w:val="0" w:hRule="auto"/>
        </w:trPr>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Presented before the LORD (v.11)</w:t>
            </w:r>
            <w:r/>
          </w:p>
        </w:tc>
        <w:tc>
          <w:tcPr>
            <w:tcW w:w="2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 priest presents the formerly unclean man before God — access restored</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Christ presents believers before the Father; our access to God is through Him alone</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Heb 7:25; Jude 1:24; Eph 2:18; Col 1:22</w:t>
            </w:r>
            <w:r/>
          </w:p>
        </w:tc>
      </w:tr>
      <w:tr>
        <w:trPr>
          <w:tblHeader w:val="0"/>
          <w:cantSplit w:val="0"/>
          <w:trHeight w:val="0" w:hRule="auto"/>
        </w:trPr>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Cedar wood, scarlet, hyssop (v.4)</w:t>
            </w:r>
            <w:r/>
          </w:p>
        </w:tc>
        <w:tc>
          <w:tcPr>
            <w:tcW w:w="2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Materials of purification — strength, redemption, humility</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Christ united strength (cedar), blood (scarlet), and humble obedience (hyssop) at Calvary</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John 19:29; Heb 9:19–22; Phil 2:8</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Commentary on Leviticus 14:11 — A Messianic and Typological Perspective</w:t>
      </w:r>
      <w:r/>
    </w:p>
    <w:p>
      <w:pPr>
        <w:spacing w:before="240" w:after="100"/>
      </w:pPr>
      <w:r>
        <w:rPr>
          <w:b/>
          <w:bCs/>
          <w:color w:val="2e75b6"/>
          <w:sz w:val="22"/>
          <w:szCs w:val="22"/>
        </w:rPr>
        <w:t>The Leper as the Sinner</w:t>
      </w:r>
      <w:r/>
    </w:p>
    <w:p>
      <w:pPr>
        <w:spacing w:before="80" w:after="80"/>
      </w:pPr>
      <w:r>
        <w:rPr>
          <w:color w:val="1a1a2e"/>
        </w:rPr>
        <w:t>No figure in the Old Testament more vividly portrays the condition of the sinner before God than the leper. The disease was progressive, disfiguring, and isolating. By law the leper was compelled to live outside the camp, to tear his clothes, bare his head, cover his lips, and cry "Unclean! Unclean!" as he approached others (Lev 13:45–46). He could not worship. He could not participate in community life. He was, in the most concrete ceremonial sense, cut off.</w:t>
      </w:r>
      <w:r/>
    </w:p>
    <w:p>
      <w:pPr>
        <w:spacing w:before="80"/>
      </w:pPr>
      <w:r/>
    </w:p>
    <w:p>
      <w:pPr>
        <w:spacing w:before="80" w:after="80"/>
      </w:pPr>
      <w:r>
        <w:rPr>
          <w:color w:val="1a1a2e"/>
        </w:rPr>
        <w:t>Isaiah describes the spiritual condition of sinful man in similar terms: "your iniquities have separated between you and your God, and your sins have hid his face from you, that he will not hear" (Isa 59:2). Paul states it plainly: "all have sinned, and come short of the glory of God" (Rom 3:23). The leper outside the camp is a portrait of every man and woman outside of Christ — defiled, isolated, without access to God, and incapable of self-cleansing.</w:t>
      </w:r>
      <w:r/>
    </w:p>
    <w:p>
      <w:pPr>
        <w:spacing w:before="100"/>
      </w:pPr>
      <w:r/>
    </w:p>
    <w:p>
      <w:pPr>
        <w:spacing w:before="240" w:after="100"/>
      </w:pPr>
      <w:r>
        <w:rPr>
          <w:b/>
          <w:bCs/>
          <w:color w:val="2e75b6"/>
          <w:sz w:val="22"/>
          <w:szCs w:val="22"/>
        </w:rPr>
        <w:t>The Priest Goes Out — The Incarnation Foreshadowed (v.3)</w:t>
      </w:r>
      <w:r/>
    </w:p>
    <w:p>
      <w:pPr>
        <w:spacing w:before="80" w:after="80"/>
      </w:pPr>
      <w:r>
        <w:rPr>
          <w:color w:val="1a1a2e"/>
        </w:rPr>
        <w:t>One of the most theologically striking details of the ceremony is that the priest does not wait for the leper to come to the tabernacle. The priest goes out of the camp to where the unclean person is. This reversal of the normal order — the holy going to the unholy — is a stunning type of the Incarnation. Paul writes that Christ, though in the form of God, "made himself of no reputation, and took on him the form of a servant, and was made in the likeness of men" (Phil 2:7). Jesus Himself declared that He came "to seek and to save that which was lost" (Luke 19:10).</w:t>
      </w:r>
      <w:r/>
    </w:p>
    <w:p>
      <w:pPr>
        <w:spacing w:before="80"/>
      </w:pPr>
      <w:r/>
    </w:p>
    <w:p>
      <w:pPr>
        <w:spacing w:before="80" w:after="80"/>
      </w:pPr>
      <w:r>
        <w:rPr>
          <w:color w:val="1a1a2e"/>
        </w:rPr>
        <w:t>The writer of Hebrews makes the typological connection unmistakable: "Jesus also, that he might sanctify the people with his own blood, suffered without the gate. Let us go forth therefore to him outside the camp, bearing his reproach" (Heb 13:12–13). Christ did not merely invite sinners to come to Him — He went out to where they were, outside the camp of the holy, to accomplish the work of cleansing.</w:t>
      </w:r>
      <w:r/>
    </w:p>
    <w:p>
      <w:pPr>
        <w:spacing w:before="100"/>
      </w:pPr>
      <w:r/>
    </w:p>
    <w:p>
      <w:pPr>
        <w:spacing w:before="240" w:after="100"/>
      </w:pPr>
      <w:r>
        <w:rPr>
          <w:b/>
          <w:bCs/>
          <w:color w:val="2e75b6"/>
          <w:sz w:val="22"/>
          <w:szCs w:val="22"/>
        </w:rPr>
        <w:t>The Two Birds — Death and Resurrection (vv.4–7)</w:t>
      </w:r>
      <w:r/>
    </w:p>
    <w:p>
      <w:pPr>
        <w:spacing w:before="80" w:after="80"/>
      </w:pPr>
      <w:r>
        <w:rPr>
          <w:color w:val="1a1a2e"/>
        </w:rPr>
        <w:t>The two birds form perhaps the most complex and beautiful type in the entire passage. The command to take two birds alive and clean, then slay one in an earthen vessel over running (literally "living") water, while keeping the second alive, creates a picture that the New Testament interprets explicitly in terms of Christ's death and resurrection.</w:t>
      </w:r>
      <w:r/>
    </w:p>
    <w:p>
      <w:pPr>
        <w:spacing w:before="80"/>
      </w:pPr>
      <w:r/>
    </w:p>
    <w:p>
      <w:pPr>
        <w:spacing w:before="80" w:after="80"/>
      </w:pPr>
      <w:r>
        <w:rPr>
          <w:color w:val="1a1a2e"/>
        </w:rPr>
        <w:t>The slain bird represents the death of Christ — the Holy One put to death in the place of the defiled. The earthen vessel evokes the frailty and humanity of the Incarnate One: Paul writes that God's treasure is placed in "earthen vessels, that the excellency of the power may be of God, and not of us" (2 Cor 4:7). The running (living) water points to the life-giving power that flows from the cross: Jesus promised "a well of water springing up into everlasting life" (John 4:14), and John saw from the side of the crucified Christ a flow of blood and water (John 19:34).</w:t>
      </w:r>
      <w:r/>
    </w:p>
    <w:p>
      <w:pPr>
        <w:spacing w:before="80"/>
      </w:pPr>
      <w:r/>
    </w:p>
    <w:p>
      <w:pPr>
        <w:spacing w:before="80" w:after="80"/>
      </w:pPr>
      <w:r>
        <w:rPr>
          <w:color w:val="1a1a2e"/>
        </w:rPr>
        <w:t>The living bird, dipped in the blood of the slain, then released into the open field, typifies the resurrection of Christ — life emerging from and through death. The bird is not released clean of blood; it is released covered in the blood of its slain counterpart. The resurrection of Christ cannot be separated from the cross. Paul declares that Christ "was delivered for our offenses, and was raised again for our justification" (Rom 4:25). The risen Christ still bore, in a glorified sense, the marks of His death (John 20:27).</w:t>
      </w:r>
      <w:r/>
    </w:p>
    <w:p>
      <w:pPr>
        <w:spacing w:before="100"/>
      </w:pPr>
      <w:r/>
    </w:p>
    <w:p>
      <w:pPr>
        <w:spacing w:before="240" w:after="100"/>
      </w:pPr>
      <w:r>
        <w:rPr>
          <w:b/>
          <w:bCs/>
          <w:color w:val="2e75b6"/>
          <w:sz w:val="22"/>
          <w:szCs w:val="22"/>
        </w:rPr>
        <w:t>Cedar Wood, Scarlet, and Hyssop (v.4)</w:t>
      </w:r>
      <w:r/>
    </w:p>
    <w:p>
      <w:pPr>
        <w:spacing w:before="80" w:after="80"/>
      </w:pPr>
      <w:r>
        <w:rPr>
          <w:color w:val="1a1a2e"/>
        </w:rPr>
        <w:t>The three materials used in the purification ritual each carry significant typological weight, and all three appear in connection with the death of Christ in the New Testament.</w:t>
      </w:r>
      <w:r/>
    </w:p>
    <w:p>
      <w:pPr>
        <w:spacing w:before="80"/>
      </w:pPr>
      <w:r/>
    </w:p>
    <w:p>
      <w:pPr>
        <w:spacing w:before="80" w:after="80"/>
      </w:pPr>
      <w:r>
        <w:rPr>
          <w:color w:val="1a1a2e"/>
        </w:rPr>
        <w:t>Cedar wood was known in the ancient world for its durability and resistance to decay — it was the wood of temples, palaces, and permanence. It speaks to the incorruptible nature of Christ's sacrifice. The psalmist's confidence that God would not allow His Holy One to see corruption (Ps 16:10) is cited by Peter and Paul as a prophecy of the resurrection (Acts 2:27; Acts 13:35).</w:t>
      </w:r>
      <w:r/>
    </w:p>
    <w:p>
      <w:pPr>
        <w:spacing w:before="80"/>
      </w:pPr>
      <w:r/>
    </w:p>
    <w:p>
      <w:pPr>
        <w:spacing w:before="80" w:after="80"/>
      </w:pPr>
      <w:r>
        <w:rPr>
          <w:color w:val="1a1a2e"/>
        </w:rPr>
        <w:t>Scarlet — the color of blood — speaks to the sacrificial and royal character of Christ's work. The scarlet thread runs from the window of Rahab (Josh 2:18), a sign of salvation through blood, to the robe placed mockingly on Jesus before His crucifixion (Matt 27:28). The connection between scarlet and atonement is made explicitly in Hebrews 9:19, where hyssop and scarlet wool are used in the sprinkling of the covenant.</w:t>
      </w:r>
      <w:r/>
    </w:p>
    <w:p>
      <w:pPr>
        <w:spacing w:before="80"/>
      </w:pPr>
      <w:r/>
    </w:p>
    <w:p>
      <w:pPr>
        <w:spacing w:before="80" w:after="80"/>
      </w:pPr>
      <w:r>
        <w:rPr>
          <w:color w:val="1a1a2e"/>
        </w:rPr>
        <w:t>Hyssop was the plant used in the original Passover (Ex 12:22) to apply the blood to the doorposts. It was used in purification from the uncleanness of a dead body (Num 19:18). And at Calvary, it was the hyssop branch used to lift the sponge of vinegar to the lips of the dying Christ (John 19:29). The appearance of hyssop at the cross is not incidental — it is the completion of a typological thread woven through the entire Mosaic system. Christ is the fulfillment of every cleansing in which hyssop played a part.</w:t>
      </w:r>
      <w:r/>
    </w:p>
    <w:p>
      <w:pPr>
        <w:spacing w:before="100"/>
      </w:pPr>
      <w:r/>
    </w:p>
    <w:p>
      <w:pPr>
        <w:spacing w:before="240" w:after="100"/>
      </w:pPr>
      <w:r>
        <w:rPr>
          <w:b/>
          <w:bCs/>
          <w:color w:val="2e75b6"/>
          <w:sz w:val="22"/>
          <w:szCs w:val="22"/>
        </w:rPr>
        <w:t>The Sevenfold Sprinkling — Perfect Cleansing (v.7)</w:t>
      </w:r>
      <w:r/>
    </w:p>
    <w:p>
      <w:pPr>
        <w:spacing w:before="80" w:after="80"/>
      </w:pPr>
      <w:r>
        <w:rPr>
          <w:color w:val="1a1a2e"/>
        </w:rPr>
        <w:t>Seven is the number of completion and perfection in biblical numerology. The priest sprinkled the cleansing blood seven times upon the leper. This act of sevenfold application declared the completeness of the cleansing: not partial, not provisional, but total. The writer of Hebrews insists that Christ's one offering has "perfected for ever them that are sanctified" (Heb 10:14). John assures believers that "the blood of Jesus Christ his Son cleanses us from all sin" — not some sin, not most sin, but all sin (1 John 1:7). The sevenfold sprinkling in type becomes the perfect, eternal cleansing in substance.</w:t>
      </w:r>
      <w:r/>
    </w:p>
    <w:p>
      <w:pPr>
        <w:spacing w:before="100"/>
      </w:pPr>
      <w:r/>
    </w:p>
    <w:p>
      <w:pPr>
        <w:spacing w:before="240" w:after="100"/>
      </w:pPr>
      <w:r>
        <w:rPr>
          <w:b/>
          <w:bCs/>
          <w:color w:val="2e75b6"/>
          <w:sz w:val="22"/>
          <w:szCs w:val="22"/>
        </w:rPr>
        <w:t>Verse 11 — Presented Before the LORD: The Goal of Cleansing</w:t>
      </w:r>
      <w:r/>
    </w:p>
    <w:p>
      <w:pPr>
        <w:spacing w:before="80" w:after="80"/>
      </w:pPr>
      <w:r>
        <w:rPr>
          <w:color w:val="1a1a2e"/>
        </w:rPr>
        <w:t>Leviticus 14:11 is the culminating verse and the direct focus of this study: "And the priest that makes him clean shall present the man that is to be made clean, and those things, before the LORD, at the door of the tabernacle of the congregation."</w:t>
      </w:r>
      <w:r/>
    </w:p>
    <w:p>
      <w:pPr>
        <w:spacing w:before="80"/>
      </w:pPr>
      <w:r/>
    </w:p>
    <w:p>
      <w:pPr>
        <w:spacing w:before="80" w:after="80"/>
      </w:pPr>
      <w:r>
        <w:rPr>
          <w:color w:val="1a1a2e"/>
        </w:rPr>
        <w:t>Three elements demand attention. First, it is the priest who presents the man — the cleansed person does not present himself. He is brought before God by the mediating priest. This is the very work Christ performs as our Great High Priest. Hebrews 7:25 declares that Christ "is able also to save them to the uttermost that come to God by him, seeing he ever lives to make intercession for them." The leper could never have walked into the tabernacle court on his own authority; the man in Christ can approach the very throne of grace because Christ presents him.</w:t>
      </w:r>
      <w:r/>
    </w:p>
    <w:p>
      <w:pPr>
        <w:spacing w:before="80"/>
      </w:pPr>
      <w:r/>
    </w:p>
    <w:p>
      <w:pPr>
        <w:spacing w:before="80" w:after="80"/>
      </w:pPr>
      <w:r>
        <w:rPr>
          <w:color w:val="1a1a2e"/>
        </w:rPr>
        <w:t>Second, the man is presented "before the LORD" — this is language of standing in the divine presence. Eph 2:18 states that "through him we both have access by one Spirit unto the Father." The wall of partition that sin erected — the exclusion from God's presence that leprosy symbolized — has been demolished by the work of Christ. Jude celebrates this in his doxology: God is able "to present you faultless before the presence of his glory with exceeding joy" (Jude 1:24).</w:t>
      </w:r>
      <w:r/>
    </w:p>
    <w:p>
      <w:pPr>
        <w:spacing w:before="80"/>
      </w:pPr>
      <w:r/>
    </w:p>
    <w:p>
      <w:pPr>
        <w:spacing w:before="80" w:after="80"/>
      </w:pPr>
      <w:r>
        <w:rPr>
          <w:color w:val="1a1a2e"/>
        </w:rPr>
        <w:t>Third, the presentation is made "at the door of the tabernacle of the congregation" — the place of meeting between God and man. Under the Mosaic economy, access to God was mediated, limited, and contingent on ceremonial cleanliness. Under the New Covenant, Christ Himself is the door (John 10:9) and the veil of separation has been torn from top to bottom (Matt 27:51), granting the redeemed direct and permanent access to the Father through His Son.</w:t>
      </w:r>
      <w:r/>
    </w:p>
    <w:p>
      <w:pPr>
        <w:spacing w:before="80"/>
      </w:pPr>
      <w:r/>
    </w:p>
    <w:p>
      <w:pPr>
        <w:spacing w:before="80" w:after="80"/>
      </w:pPr>
      <w:r>
        <w:rPr>
          <w:color w:val="1a1a2e"/>
        </w:rPr>
        <w:t>The entire ceremony of Leviticus 14 — from the priest going out to the unclean leper, through the death of one bird and the release of the other, through the sevenfold cleansing, to the final presentation before the LORD — is a magnificent miniature of the gospel. The sinner is helpless and excluded. Christ comes to where the sinner is. He dies in the sinner's place. He rises. He applies the cleansing of His blood. And He presents the formerly defiled one before God, holy and without blemish.</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Conclusion</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"Now to him that is able to keep you from falling, and to present you faultless before the presence of his glory with exceeding joy, To the only wise God our Savior, be glory and majesty, dominion and power, both now and ever. Amen."  — Jude 1:24–25 (AKJV)</w:t>
      </w:r>
      <w:r/>
    </w:p>
    <w:p>
      <w:pPr>
        <w:spacing w:before="120"/>
      </w:pPr>
      <w:r/>
    </w:p>
    <w:p>
      <w:pPr>
        <w:spacing w:before="80" w:after="80"/>
      </w:pPr>
      <w:r>
        <w:rPr>
          <w:color w:val="1a1a2e"/>
        </w:rPr>
        <w:t>Leviticus 14:11 is, in miniature, the whole gospel of Jesus Christ. The man who had been declared unclean — shut out, marked, and excluded — is brought by the priest into the presence of the living God. This is what Christ has accomplished. He went outside the camp of the righteous to find the sinner. He died in the sinner's place. He rose, declaring the fullness of cleansing. And now, in His eternal priestly ministry, He presents His people before the Father — not as lepers, but as the cleansed, the redeemed, the beloved.</w:t>
      </w:r>
      <w:r/>
    </w:p>
    <w:p>
      <w:pPr>
        <w:spacing w:before="80"/>
      </w:pPr>
      <w:r/>
    </w:p>
    <w:p>
      <w:pPr>
        <w:spacing w:before="80" w:after="80"/>
      </w:pPr>
      <w:r>
        <w:rPr>
          <w:color w:val="1a1a2e"/>
        </w:rPr>
        <w:t>From a conservative Church of Christ perspective, this passage affirms the unity of the two testaments, the necessity of Christ's atoning blood, and the centrality of His mediatorial priesthood. The old rite of leprosy cleansing was never an end in itself — it was a shadow cast by the Light that was coming. That Light has come, and His name is Jesus Christ, the same yesterday, and today, and for ever (Heb 13:8).</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New Testament and Old Testament Reference Index</w:t>
      </w:r>
      <w:r/>
    </w:p>
    <w:p>
      <w:pPr>
        <w:spacing w:before="80" w:after="80"/>
      </w:pPr>
      <w:r>
        <w:rPr>
          <w:color w:val="1a1a2e"/>
        </w:rPr>
        <w:t>All scriptures cited or referenced in this analysis are from the American King James Version (AKJV):</w:t>
      </w:r>
      <w:r/>
    </w:p>
    <w:p>
      <w:pPr>
        <w:spacing w:before="100"/>
      </w:pPr>
      <w:r/>
    </w:p>
    <w:tbl>
      <w:tblPr>
        <w:name w:val="Table3"/>
        <w:tabOrder w:val="0"/>
        <w:jc w:val="left"/>
        <w:tblInd w:w="0" w:type="dxa"/>
        <w:tblW w:w="9360" w:type="dxa"/>
      </w:tblPr>
      <w:tblGrid>
        <w:gridCol w:w="1800"/>
        <w:gridCol w:w="7560"/>
      </w:tblGrid>
      <w:tr>
        <w:trPr>
          <w:tblHeader/>
          <w:cantSplit w:val="0"/>
          <w:trHeight w:val="0" w:hRule="auto"/>
        </w:trPr>
        <w:tc>
          <w:tcPr>
            <w:tcW w:w="1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Reference</w:t>
            </w:r>
            <w:r/>
          </w:p>
        </w:tc>
        <w:tc>
          <w:tcPr>
            <w:tcW w:w="75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205" protected="0"/>
          </w:tcPr>
          <w:p>
            <w:pPr>
              <w:spacing/>
              <w:jc w:val="center"/>
            </w:pPr>
            <w:r>
              <w:rPr>
                <w:b/>
                <w:bCs/>
                <w:color w:val="ffffff"/>
              </w:rPr>
              <w:t>Text (AKJV)</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Mark 1:40–41</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And there came a leper to him, beseeching him, and kneeling down to him, and saying to him, If you will, you can make me clean. And Jesus, moved with compassion, put forth his hand, and touched him, and said to him, I will; be you clean.</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Luke 19:10</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For the Son of man is come to seek and to save that which was lost.</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John 1:14</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And the Word was made flesh, and dwelled among us, (and we beheld his glory, the glory as of the only begotten of the Father,) full of grace and truth.</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John 4:14</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But whoever drinks of the water that I shall give him shall never thirst; but the water that I shall give him shall be in him a well of water springing up into everlasting life.</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John 8:36</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If the Son therefore shall make you free, you shall be free indeed.</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John 19:29</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Now there was set a vessel full of vinegar: and they filled a sponge with vinegar, and put it on hyssop, and put it to his mouth.</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Rom 3:23</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For all have sinned, and come short of the glory of God.</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Rom 4:25</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Who was delivered for our offenses, and was raised again for our justification.</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Rom 5:8</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But God commends his love toward us, in that, while we were yet sinners, Christ died for us.</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Rom 6:3–4</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Know you not, that so many of us as were baptized into Jesus Christ were baptized into his death? Therefore we are buried with him by baptism into death: that like as Christ was raised up from the dead by the glory of the Father, even so we also should walk in newness of life.</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Rom 8:1–2</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There is therefore now no condemnation to them which are in Christ Jesus, who walk not after the flesh, but after the Spirit. For the law of the Spirit of life in Christ Jesus has made me free from the law of sin and death.</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1 Cor 15:17</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And if Christ be not raised, your faith is vain; you are yet in your sins.</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Gal 5:1</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Stand fast therefore in the liberty with which Christ has made us free, and be not entangled again with the yoke of bondage.</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Eph 2:12</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That at that time you were without Christ, being aliens from the commonwealth of Israel, and strangers from the covenants of promise, having no hope, and without God in the world.</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Eph 2:18</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For through him we both have access by one Spirit to the Father.</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Phil 2:7–8</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But made himself of no reputation, and took on him the form of a servant, and was made in the likeness of men: And being found in fashion as a man, he humbled himself, and became obedient to death, even the death of the cross.</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Col 1:22</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In the body of his flesh through death, to present you holy and unblamed and unreprovable in his sight.</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Heb 7:25</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Why he is able also to save them to the uttermost that come to God by him, seeing he ever lives to make intercession for them.</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Heb 9:13–14</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For if the blood of bulls and of goats, and the ashes of an heifer sprinkling the unclean, sanctifies to the purifying of the flesh: How much more shall the blood of Christ, who through the eternal Spirit offered himself without spot to God, purge your conscience from dead works to serve the living God?</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Heb 9:19</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For when Moses had spoken every precept to all the people according to the law, he took the blood of calves and of goats, with water, and scarlet wool, and hyssop, and sprinkled both the book, and all the people.</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Heb 10:14</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For by one offering he has perfected for ever them that are sanctified.</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Heb 13:12–13</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Why Jesus also, that he might sanctify the people with his own blood, suffered without the gate. Let us go forth therefore to him outside the camp, bearing his reproach.</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1 Pet 1:18–19</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For as much as you know that you were not redeemed with corruptible things, as silver and gold, from your vain conversation received by tradition from your fathers; But with the precious blood of Christ, as of a lamb without blemish and without spot.</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1 John 1:7</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But if we walk in the light, as he is in the light, we have fellowship one with another, and the blood of Jesus Christ his Son cleanses us from all sin.</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Jude 1:24</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Now to him that is able to keep you from falling, and to present you faultless before the presence of his glory with exceeding joy.</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Rev 1:5</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And from Jesus Christ, who is the faithful witness, and the first begotten of the dead, and the prince of the kings of the earth. To him that loved us, and washed us from our sins in his own blood.</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spacing/>
              <w:jc w:val="center"/>
            </w:pPr>
            <w:r>
              <w:rPr>
                <w:b/>
                <w:bCs/>
                <w:color w:val="1a1a2e"/>
                <w:sz w:val="18"/>
                <w:szCs w:val="18"/>
              </w:rPr>
              <w:t>Isa 59:2</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205" protected="0"/>
          </w:tcPr>
          <w:p>
            <w:pPr/>
            <w:r>
              <w:rPr>
                <w:color w:val="1a1a2e"/>
                <w:sz w:val="18"/>
                <w:szCs w:val="18"/>
              </w:rPr>
              <w:t>But your iniquities have separated between you and your God, and your sins have hid his face from you, that he will not hear.</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Leviticus 14:11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4205"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2026-03-14T16:03:25Z</dcterms:created>
  <dcterms:modified xsi:type="dcterms:W3CDTF">2026-03-14T16:03:25Z</dcterms:modified>
</cp:coreProperties>
</file>